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47765" w14:textId="136D51F8" w:rsidR="00B55116" w:rsidRDefault="00B55116" w:rsidP="6BEB91E7">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jc w:val="right"/>
        <w:outlineLvl w:val="0"/>
        <w:rPr>
          <w:rFonts w:asciiTheme="minorHAnsi" w:hAnsiTheme="minorHAnsi" w:cstheme="minorBidi"/>
          <w:b/>
          <w:bCs/>
          <w:sz w:val="20"/>
          <w:szCs w:val="20"/>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55030720" w:rsidRPr="6BEB91E7">
        <w:rPr>
          <w:rFonts w:asciiTheme="minorHAnsi" w:hAnsiTheme="minorHAnsi" w:cstheme="minorBidi"/>
          <w:b/>
          <w:bCs/>
        </w:rPr>
        <w:t xml:space="preserve">            </w:t>
      </w:r>
      <w:r w:rsidR="3F52538A" w:rsidRPr="6BEB91E7">
        <w:rPr>
          <w:rFonts w:asciiTheme="minorHAnsi" w:hAnsiTheme="minorHAnsi" w:cstheme="minorBidi"/>
        </w:rPr>
        <w:t>Les Ulis</w:t>
      </w:r>
      <w:r w:rsidR="55030720" w:rsidRPr="6BEB91E7">
        <w:rPr>
          <w:rFonts w:asciiTheme="minorHAnsi" w:hAnsiTheme="minorHAnsi" w:cstheme="minorBidi"/>
        </w:rPr>
        <w:t xml:space="preserve">, le </w:t>
      </w:r>
      <w:r w:rsidR="0A0B88B2" w:rsidRPr="6BEB91E7">
        <w:rPr>
          <w:rFonts w:asciiTheme="minorHAnsi" w:hAnsiTheme="minorHAnsi" w:cstheme="minorBidi"/>
        </w:rPr>
        <w:t>17</w:t>
      </w:r>
      <w:r w:rsidR="180F6439" w:rsidRPr="6BEB91E7">
        <w:rPr>
          <w:rFonts w:asciiTheme="minorHAnsi" w:hAnsiTheme="minorHAnsi" w:cstheme="minorBidi"/>
        </w:rPr>
        <w:t xml:space="preserve"> </w:t>
      </w:r>
      <w:r w:rsidR="55030720" w:rsidRPr="6BEB91E7">
        <w:rPr>
          <w:rFonts w:asciiTheme="minorHAnsi" w:hAnsiTheme="minorHAnsi" w:cstheme="minorBidi"/>
        </w:rPr>
        <w:t>jui</w:t>
      </w:r>
      <w:r w:rsidR="0B709FCF" w:rsidRPr="6BEB91E7">
        <w:rPr>
          <w:rFonts w:asciiTheme="minorHAnsi" w:hAnsiTheme="minorHAnsi" w:cstheme="minorBidi"/>
        </w:rPr>
        <w:t>n</w:t>
      </w:r>
      <w:r w:rsidR="55030720" w:rsidRPr="6BEB91E7">
        <w:rPr>
          <w:rFonts w:asciiTheme="minorHAnsi" w:hAnsiTheme="minorHAnsi" w:cstheme="minorBidi"/>
        </w:rPr>
        <w:t xml:space="preserve"> 202</w:t>
      </w:r>
      <w:r w:rsidR="00983457" w:rsidRPr="6BEB91E7">
        <w:rPr>
          <w:rFonts w:asciiTheme="minorHAnsi" w:hAnsiTheme="minorHAnsi" w:cstheme="minorBidi"/>
        </w:rPr>
        <w:t>5</w:t>
      </w:r>
      <w:r w:rsidR="55030720" w:rsidRPr="6BEB91E7">
        <w:rPr>
          <w:rFonts w:asciiTheme="minorHAnsi" w:hAnsiTheme="minorHAnsi" w:cstheme="minorBidi"/>
        </w:rPr>
        <w:t xml:space="preserve"> à 7H00</w:t>
      </w:r>
    </w:p>
    <w:p w14:paraId="56EED4F3" w14:textId="77777777" w:rsidR="00B55116" w:rsidRPr="00B55116" w:rsidRDefault="00B55116" w:rsidP="00B55116">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jc w:val="center"/>
        <w:outlineLvl w:val="0"/>
        <w:rPr>
          <w:rFonts w:asciiTheme="minorHAnsi" w:hAnsiTheme="minorHAnsi" w:cstheme="minorHAnsi"/>
          <w:b/>
          <w:sz w:val="20"/>
          <w:szCs w:val="20"/>
        </w:rPr>
      </w:pPr>
    </w:p>
    <w:p w14:paraId="4B5046BF" w14:textId="70092A36" w:rsidR="008B19FA" w:rsidRDefault="63539358" w:rsidP="007C24EB">
      <w:pPr>
        <w:spacing w:after="80"/>
        <w:jc w:val="both"/>
        <w:outlineLvl w:val="0"/>
        <w:rPr>
          <w:rFonts w:asciiTheme="minorHAnsi" w:hAnsiTheme="minorHAnsi" w:cstheme="minorBidi"/>
          <w:b/>
          <w:bCs/>
          <w:caps/>
          <w:sz w:val="28"/>
          <w:szCs w:val="28"/>
        </w:rPr>
      </w:pPr>
      <w:r w:rsidRPr="1B75D988">
        <w:rPr>
          <w:rFonts w:asciiTheme="minorHAnsi" w:hAnsiTheme="minorHAnsi" w:cstheme="minorBidi"/>
          <w:b/>
          <w:bCs/>
          <w:caps/>
          <w:sz w:val="28"/>
          <w:szCs w:val="28"/>
        </w:rPr>
        <w:t>RÉSULTATS ANNUELS</w:t>
      </w:r>
      <w:r w:rsidR="42EBDF9E" w:rsidRPr="1B75D988">
        <w:rPr>
          <w:rFonts w:asciiTheme="minorHAnsi" w:hAnsiTheme="minorHAnsi" w:cstheme="minorBidi"/>
          <w:b/>
          <w:bCs/>
          <w:caps/>
          <w:sz w:val="28"/>
          <w:szCs w:val="28"/>
        </w:rPr>
        <w:t xml:space="preserve"> 202</w:t>
      </w:r>
      <w:r w:rsidR="34B7F454" w:rsidRPr="1B75D988">
        <w:rPr>
          <w:rFonts w:asciiTheme="minorHAnsi" w:hAnsiTheme="minorHAnsi" w:cstheme="minorBidi"/>
          <w:b/>
          <w:bCs/>
          <w:caps/>
          <w:sz w:val="28"/>
          <w:szCs w:val="28"/>
        </w:rPr>
        <w:t>4</w:t>
      </w:r>
      <w:r w:rsidR="42EBDF9E" w:rsidRPr="1B75D988">
        <w:rPr>
          <w:rFonts w:asciiTheme="minorHAnsi" w:hAnsiTheme="minorHAnsi" w:cstheme="minorBidi"/>
          <w:b/>
          <w:bCs/>
          <w:caps/>
          <w:sz w:val="28"/>
          <w:szCs w:val="28"/>
        </w:rPr>
        <w:t>-2</w:t>
      </w:r>
      <w:r w:rsidR="481E9CBC" w:rsidRPr="1B75D988">
        <w:rPr>
          <w:rFonts w:asciiTheme="minorHAnsi" w:hAnsiTheme="minorHAnsi" w:cstheme="minorBidi"/>
          <w:b/>
          <w:bCs/>
          <w:caps/>
          <w:sz w:val="28"/>
          <w:szCs w:val="28"/>
        </w:rPr>
        <w:t>5</w:t>
      </w:r>
      <w:r w:rsidR="42EBDF9E" w:rsidRPr="1B75D988">
        <w:rPr>
          <w:rFonts w:asciiTheme="minorHAnsi" w:hAnsiTheme="minorHAnsi" w:cstheme="minorBidi"/>
          <w:b/>
          <w:bCs/>
          <w:caps/>
          <w:sz w:val="28"/>
          <w:szCs w:val="28"/>
        </w:rPr>
        <w:t xml:space="preserve"> </w:t>
      </w:r>
      <w:r w:rsidR="005876F5">
        <w:rPr>
          <w:rFonts w:asciiTheme="minorHAnsi" w:hAnsiTheme="minorHAnsi" w:cstheme="minorBidi"/>
          <w:b/>
          <w:bCs/>
          <w:caps/>
          <w:sz w:val="28"/>
          <w:szCs w:val="28"/>
        </w:rPr>
        <w:t xml:space="preserve">du </w:t>
      </w:r>
      <w:r w:rsidR="00AF5E6F">
        <w:rPr>
          <w:rFonts w:asciiTheme="minorHAnsi" w:hAnsiTheme="minorHAnsi" w:cstheme="minorBidi"/>
          <w:b/>
          <w:bCs/>
          <w:caps/>
          <w:sz w:val="28"/>
          <w:szCs w:val="28"/>
        </w:rPr>
        <w:t xml:space="preserve">GROUPE </w:t>
      </w:r>
      <w:r w:rsidR="00AF5E6F" w:rsidRPr="1B75D988">
        <w:rPr>
          <w:rFonts w:asciiTheme="minorHAnsi" w:hAnsiTheme="minorHAnsi" w:cstheme="minorBidi"/>
          <w:b/>
          <w:bCs/>
          <w:caps/>
          <w:sz w:val="28"/>
          <w:szCs w:val="28"/>
        </w:rPr>
        <w:t>Lexibook</w:t>
      </w:r>
      <w:r w:rsidR="2286CEA8" w:rsidRPr="1B75D988">
        <w:rPr>
          <w:rFonts w:asciiTheme="minorHAnsi" w:hAnsiTheme="minorHAnsi" w:cstheme="minorBidi"/>
          <w:b/>
          <w:bCs/>
          <w:caps/>
          <w:sz w:val="28"/>
          <w:szCs w:val="28"/>
        </w:rPr>
        <w:t xml:space="preserve"> </w:t>
      </w:r>
      <w:r w:rsidR="42EBDF9E" w:rsidRPr="1B75D988">
        <w:rPr>
          <w:rFonts w:asciiTheme="minorHAnsi" w:hAnsiTheme="minorHAnsi" w:cstheme="minorBidi"/>
          <w:b/>
          <w:bCs/>
          <w:caps/>
          <w:sz w:val="28"/>
          <w:szCs w:val="28"/>
        </w:rPr>
        <w:t xml:space="preserve">: </w:t>
      </w:r>
      <w:r w:rsidR="13004869" w:rsidRPr="1B75D988">
        <w:rPr>
          <w:rFonts w:asciiTheme="minorHAnsi" w:hAnsiTheme="minorHAnsi" w:cstheme="minorBidi"/>
          <w:b/>
          <w:bCs/>
          <w:caps/>
          <w:sz w:val="28"/>
          <w:szCs w:val="28"/>
        </w:rPr>
        <w:t>CHIFFRE D’AFFAIRES ANNUEL À</w:t>
      </w:r>
      <w:r w:rsidR="42EBDF9E" w:rsidRPr="1B75D988">
        <w:rPr>
          <w:rFonts w:asciiTheme="minorHAnsi" w:hAnsiTheme="minorHAnsi" w:cstheme="minorBidi"/>
          <w:b/>
          <w:bCs/>
          <w:caps/>
          <w:sz w:val="28"/>
          <w:szCs w:val="28"/>
        </w:rPr>
        <w:t xml:space="preserve"> </w:t>
      </w:r>
      <w:r w:rsidR="13004869" w:rsidRPr="1B75D988">
        <w:rPr>
          <w:rFonts w:asciiTheme="minorHAnsi" w:hAnsiTheme="minorHAnsi" w:cstheme="minorBidi"/>
          <w:b/>
          <w:bCs/>
          <w:caps/>
          <w:sz w:val="28"/>
          <w:szCs w:val="28"/>
        </w:rPr>
        <w:t>74,0</w:t>
      </w:r>
      <w:r w:rsidR="0F9C392A" w:rsidRPr="1B75D988">
        <w:rPr>
          <w:rFonts w:asciiTheme="minorHAnsi" w:hAnsiTheme="minorHAnsi" w:cstheme="minorBidi"/>
          <w:b/>
          <w:bCs/>
          <w:caps/>
          <w:sz w:val="28"/>
          <w:szCs w:val="28"/>
        </w:rPr>
        <w:t>M</w:t>
      </w:r>
      <w:r w:rsidR="42EBDF9E" w:rsidRPr="1B75D988">
        <w:rPr>
          <w:rFonts w:asciiTheme="minorHAnsi" w:hAnsiTheme="minorHAnsi" w:cstheme="minorBidi"/>
          <w:b/>
          <w:bCs/>
          <w:caps/>
          <w:sz w:val="28"/>
          <w:szCs w:val="28"/>
        </w:rPr>
        <w:t>€ (+</w:t>
      </w:r>
      <w:r w:rsidR="5043BC15" w:rsidRPr="1B75D988">
        <w:rPr>
          <w:rFonts w:asciiTheme="minorHAnsi" w:hAnsiTheme="minorHAnsi" w:cstheme="minorBidi"/>
          <w:b/>
          <w:bCs/>
          <w:caps/>
          <w:sz w:val="28"/>
          <w:szCs w:val="28"/>
        </w:rPr>
        <w:t>26,3</w:t>
      </w:r>
      <w:r w:rsidR="42EBDF9E" w:rsidRPr="1B75D988">
        <w:rPr>
          <w:rFonts w:asciiTheme="minorHAnsi" w:hAnsiTheme="minorHAnsi" w:cstheme="minorBidi"/>
          <w:b/>
          <w:bCs/>
          <w:caps/>
          <w:sz w:val="28"/>
          <w:szCs w:val="28"/>
        </w:rPr>
        <w:t xml:space="preserve">%). </w:t>
      </w:r>
      <w:r w:rsidR="44D47956" w:rsidRPr="1B75D988">
        <w:rPr>
          <w:rFonts w:asciiTheme="minorHAnsi" w:hAnsiTheme="minorHAnsi" w:cstheme="minorBidi"/>
          <w:b/>
          <w:bCs/>
          <w:caps/>
          <w:sz w:val="28"/>
          <w:szCs w:val="28"/>
        </w:rPr>
        <w:t xml:space="preserve">REX et </w:t>
      </w:r>
      <w:r w:rsidR="42EBDF9E" w:rsidRPr="1B75D988">
        <w:rPr>
          <w:rFonts w:asciiTheme="minorHAnsi" w:hAnsiTheme="minorHAnsi" w:cstheme="minorBidi"/>
          <w:b/>
          <w:bCs/>
          <w:caps/>
          <w:sz w:val="28"/>
          <w:szCs w:val="28"/>
        </w:rPr>
        <w:t>rn </w:t>
      </w:r>
      <w:r w:rsidR="51AFC33B" w:rsidRPr="1B75D988">
        <w:rPr>
          <w:rFonts w:asciiTheme="minorHAnsi" w:hAnsiTheme="minorHAnsi" w:cstheme="minorBidi"/>
          <w:b/>
          <w:bCs/>
          <w:caps/>
          <w:sz w:val="28"/>
          <w:szCs w:val="28"/>
        </w:rPr>
        <w:t>EN CROISsance</w:t>
      </w:r>
      <w:r w:rsidR="002766CF" w:rsidRPr="1B75D988">
        <w:rPr>
          <w:rFonts w:asciiTheme="minorHAnsi" w:hAnsiTheme="minorHAnsi" w:cstheme="minorBidi"/>
          <w:b/>
          <w:bCs/>
          <w:caps/>
          <w:sz w:val="28"/>
          <w:szCs w:val="28"/>
        </w:rPr>
        <w:t>,</w:t>
      </w:r>
      <w:r w:rsidR="51AFC33B" w:rsidRPr="1B75D988">
        <w:rPr>
          <w:rFonts w:asciiTheme="minorHAnsi" w:hAnsiTheme="minorHAnsi" w:cstheme="minorBidi"/>
          <w:b/>
          <w:bCs/>
          <w:caps/>
          <w:sz w:val="28"/>
          <w:szCs w:val="28"/>
        </w:rPr>
        <w:t xml:space="preserve"> </w:t>
      </w:r>
      <w:r w:rsidR="36184CED" w:rsidRPr="1B75D988">
        <w:rPr>
          <w:rFonts w:asciiTheme="minorHAnsi" w:hAnsiTheme="minorHAnsi" w:cstheme="minorBidi"/>
          <w:b/>
          <w:bCs/>
          <w:caps/>
          <w:sz w:val="28"/>
          <w:szCs w:val="28"/>
        </w:rPr>
        <w:t xml:space="preserve">RESPECTIVEMENT </w:t>
      </w:r>
      <w:r w:rsidR="271434B3" w:rsidRPr="1B75D988">
        <w:rPr>
          <w:rFonts w:asciiTheme="minorHAnsi" w:hAnsiTheme="minorHAnsi" w:cstheme="minorBidi"/>
          <w:b/>
          <w:bCs/>
          <w:caps/>
          <w:sz w:val="28"/>
          <w:szCs w:val="28"/>
        </w:rPr>
        <w:t>À</w:t>
      </w:r>
      <w:r w:rsidR="36184CED" w:rsidRPr="1B75D988">
        <w:rPr>
          <w:rFonts w:asciiTheme="minorHAnsi" w:hAnsiTheme="minorHAnsi" w:cstheme="minorBidi"/>
          <w:b/>
          <w:bCs/>
          <w:caps/>
          <w:sz w:val="28"/>
          <w:szCs w:val="28"/>
        </w:rPr>
        <w:t xml:space="preserve"> +</w:t>
      </w:r>
      <w:r w:rsidR="27576C7B" w:rsidRPr="1B75D988">
        <w:rPr>
          <w:rFonts w:asciiTheme="minorHAnsi" w:hAnsiTheme="minorHAnsi" w:cstheme="minorBidi"/>
          <w:b/>
          <w:bCs/>
          <w:caps/>
          <w:sz w:val="28"/>
          <w:szCs w:val="28"/>
        </w:rPr>
        <w:t>8,1</w:t>
      </w:r>
      <w:r w:rsidR="36184CED" w:rsidRPr="1B75D988">
        <w:rPr>
          <w:rFonts w:asciiTheme="minorHAnsi" w:hAnsiTheme="minorHAnsi" w:cstheme="minorBidi"/>
          <w:b/>
          <w:bCs/>
          <w:caps/>
          <w:sz w:val="28"/>
          <w:szCs w:val="28"/>
        </w:rPr>
        <w:t xml:space="preserve">M€ </w:t>
      </w:r>
      <w:r w:rsidR="271434B3" w:rsidRPr="1B75D988">
        <w:rPr>
          <w:rFonts w:asciiTheme="minorHAnsi" w:hAnsiTheme="minorHAnsi" w:cstheme="minorBidi"/>
          <w:b/>
          <w:bCs/>
          <w:caps/>
          <w:sz w:val="28"/>
          <w:szCs w:val="28"/>
        </w:rPr>
        <w:t>ET</w:t>
      </w:r>
      <w:r w:rsidR="36184CED" w:rsidRPr="1B75D988">
        <w:rPr>
          <w:rFonts w:asciiTheme="minorHAnsi" w:hAnsiTheme="minorHAnsi" w:cstheme="minorBidi"/>
          <w:b/>
          <w:bCs/>
          <w:caps/>
          <w:sz w:val="28"/>
          <w:szCs w:val="28"/>
        </w:rPr>
        <w:t xml:space="preserve"> </w:t>
      </w:r>
      <w:r w:rsidR="51AFC33B" w:rsidRPr="1B75D988">
        <w:rPr>
          <w:rFonts w:asciiTheme="minorHAnsi" w:hAnsiTheme="minorHAnsi" w:cstheme="minorBidi"/>
          <w:b/>
          <w:bCs/>
          <w:caps/>
          <w:sz w:val="28"/>
          <w:szCs w:val="28"/>
        </w:rPr>
        <w:t>À</w:t>
      </w:r>
      <w:r w:rsidR="42EBDF9E" w:rsidRPr="1B75D988">
        <w:rPr>
          <w:rFonts w:asciiTheme="minorHAnsi" w:hAnsiTheme="minorHAnsi" w:cstheme="minorBidi"/>
          <w:b/>
          <w:bCs/>
          <w:caps/>
          <w:sz w:val="28"/>
          <w:szCs w:val="28"/>
        </w:rPr>
        <w:t xml:space="preserve"> +</w:t>
      </w:r>
      <w:r w:rsidR="1E1D6034" w:rsidRPr="1B75D988">
        <w:rPr>
          <w:rFonts w:asciiTheme="minorHAnsi" w:hAnsiTheme="minorHAnsi" w:cstheme="minorBidi"/>
          <w:b/>
          <w:bCs/>
          <w:caps/>
          <w:sz w:val="28"/>
          <w:szCs w:val="28"/>
        </w:rPr>
        <w:t>7,4</w:t>
      </w:r>
      <w:r w:rsidR="42EBDF9E" w:rsidRPr="1B75D988">
        <w:rPr>
          <w:rFonts w:asciiTheme="minorHAnsi" w:hAnsiTheme="minorHAnsi" w:cstheme="minorBidi"/>
          <w:b/>
          <w:bCs/>
          <w:caps/>
          <w:sz w:val="28"/>
          <w:szCs w:val="28"/>
        </w:rPr>
        <w:t>M€</w:t>
      </w:r>
      <w:r w:rsidR="6FA318D1" w:rsidRPr="1B75D988">
        <w:rPr>
          <w:rFonts w:asciiTheme="minorHAnsi" w:hAnsiTheme="minorHAnsi" w:cstheme="minorBidi"/>
          <w:b/>
          <w:bCs/>
          <w:caps/>
          <w:sz w:val="28"/>
          <w:szCs w:val="28"/>
        </w:rPr>
        <w:t xml:space="preserve"> GRACE A UNE CONJONCTION </w:t>
      </w:r>
      <w:r w:rsidR="75EED8FB" w:rsidRPr="1B75D988">
        <w:rPr>
          <w:rFonts w:asciiTheme="minorHAnsi" w:hAnsiTheme="minorHAnsi" w:cstheme="minorBidi"/>
          <w:b/>
          <w:bCs/>
          <w:caps/>
          <w:sz w:val="28"/>
          <w:szCs w:val="28"/>
        </w:rPr>
        <w:t>exc</w:t>
      </w:r>
      <w:r w:rsidR="55D1F2AF" w:rsidRPr="1B75D988">
        <w:rPr>
          <w:rFonts w:asciiTheme="minorHAnsi" w:hAnsiTheme="minorHAnsi" w:cstheme="minorBidi"/>
          <w:b/>
          <w:bCs/>
          <w:caps/>
          <w:sz w:val="28"/>
          <w:szCs w:val="28"/>
        </w:rPr>
        <w:t xml:space="preserve">eptionnelle </w:t>
      </w:r>
      <w:r w:rsidR="6FA318D1" w:rsidRPr="1B75D988">
        <w:rPr>
          <w:rFonts w:asciiTheme="minorHAnsi" w:hAnsiTheme="minorHAnsi" w:cstheme="minorBidi"/>
          <w:b/>
          <w:bCs/>
          <w:caps/>
          <w:sz w:val="28"/>
          <w:szCs w:val="28"/>
        </w:rPr>
        <w:t>DE FACTEURS POSITIFS</w:t>
      </w:r>
      <w:r w:rsidR="42EBDF9E" w:rsidRPr="1B75D988">
        <w:rPr>
          <w:rFonts w:asciiTheme="minorHAnsi" w:hAnsiTheme="minorHAnsi" w:cstheme="minorBidi"/>
          <w:b/>
          <w:bCs/>
          <w:caps/>
          <w:sz w:val="28"/>
          <w:szCs w:val="28"/>
        </w:rPr>
        <w:t xml:space="preserve">. </w:t>
      </w:r>
      <w:r w:rsidR="22545570" w:rsidRPr="1B75D988">
        <w:rPr>
          <w:rFonts w:asciiTheme="minorHAnsi" w:hAnsiTheme="minorHAnsi" w:cstheme="minorBidi"/>
          <w:b/>
          <w:bCs/>
          <w:caps/>
          <w:sz w:val="28"/>
          <w:szCs w:val="28"/>
        </w:rPr>
        <w:t>P</w:t>
      </w:r>
      <w:r w:rsidR="5C04A3B3" w:rsidRPr="1B75D988">
        <w:rPr>
          <w:rFonts w:asciiTheme="minorHAnsi" w:hAnsiTheme="minorHAnsi" w:cstheme="minorBidi"/>
          <w:b/>
          <w:bCs/>
          <w:caps/>
          <w:sz w:val="28"/>
          <w:szCs w:val="28"/>
        </w:rPr>
        <w:t>erspectives</w:t>
      </w:r>
      <w:r w:rsidR="42EBDF9E" w:rsidRPr="1B75D988">
        <w:rPr>
          <w:rFonts w:asciiTheme="minorHAnsi" w:hAnsiTheme="minorHAnsi" w:cstheme="minorBidi"/>
          <w:b/>
          <w:bCs/>
          <w:caps/>
          <w:sz w:val="28"/>
          <w:szCs w:val="28"/>
        </w:rPr>
        <w:t xml:space="preserve"> </w:t>
      </w:r>
      <w:r w:rsidR="00A2387E">
        <w:rPr>
          <w:rFonts w:asciiTheme="minorHAnsi" w:hAnsiTheme="minorHAnsi" w:cstheme="minorBidi"/>
          <w:b/>
          <w:bCs/>
          <w:caps/>
          <w:sz w:val="28"/>
          <w:szCs w:val="28"/>
        </w:rPr>
        <w:t>incertaines</w:t>
      </w:r>
      <w:r w:rsidR="2580D173" w:rsidRPr="1B75D988">
        <w:rPr>
          <w:rFonts w:asciiTheme="minorHAnsi" w:hAnsiTheme="minorHAnsi" w:cstheme="minorBidi"/>
          <w:b/>
          <w:bCs/>
          <w:caps/>
          <w:sz w:val="28"/>
          <w:szCs w:val="28"/>
        </w:rPr>
        <w:t xml:space="preserve"> </w:t>
      </w:r>
      <w:r w:rsidR="42EBDF9E" w:rsidRPr="1B75D988">
        <w:rPr>
          <w:rFonts w:asciiTheme="minorHAnsi" w:hAnsiTheme="minorHAnsi" w:cstheme="minorBidi"/>
          <w:b/>
          <w:bCs/>
          <w:caps/>
          <w:sz w:val="28"/>
          <w:szCs w:val="28"/>
        </w:rPr>
        <w:t>pour l’exercice 202</w:t>
      </w:r>
      <w:r w:rsidR="4FD2330F" w:rsidRPr="1B75D988">
        <w:rPr>
          <w:rFonts w:asciiTheme="minorHAnsi" w:hAnsiTheme="minorHAnsi" w:cstheme="minorBidi"/>
          <w:b/>
          <w:bCs/>
          <w:caps/>
          <w:sz w:val="28"/>
          <w:szCs w:val="28"/>
        </w:rPr>
        <w:t>5</w:t>
      </w:r>
      <w:r w:rsidR="42EBDF9E" w:rsidRPr="1B75D988">
        <w:rPr>
          <w:rFonts w:asciiTheme="minorHAnsi" w:hAnsiTheme="minorHAnsi" w:cstheme="minorBidi"/>
          <w:b/>
          <w:bCs/>
          <w:caps/>
          <w:sz w:val="28"/>
          <w:szCs w:val="28"/>
        </w:rPr>
        <w:t>-2</w:t>
      </w:r>
      <w:r w:rsidR="18F03880" w:rsidRPr="1B75D988">
        <w:rPr>
          <w:rFonts w:asciiTheme="minorHAnsi" w:hAnsiTheme="minorHAnsi" w:cstheme="minorBidi"/>
          <w:b/>
          <w:bCs/>
          <w:caps/>
          <w:sz w:val="28"/>
          <w:szCs w:val="28"/>
        </w:rPr>
        <w:t>6</w:t>
      </w:r>
      <w:r w:rsidR="44D50EDE" w:rsidRPr="1B75D988">
        <w:rPr>
          <w:rFonts w:asciiTheme="minorHAnsi" w:hAnsiTheme="minorHAnsi" w:cstheme="minorBidi"/>
          <w:b/>
          <w:bCs/>
          <w:caps/>
          <w:sz w:val="28"/>
          <w:szCs w:val="28"/>
        </w:rPr>
        <w:t xml:space="preserve"> </w:t>
      </w:r>
      <w:r w:rsidR="00A2387E">
        <w:rPr>
          <w:rFonts w:asciiTheme="minorHAnsi" w:hAnsiTheme="minorHAnsi" w:cstheme="minorBidi"/>
          <w:b/>
          <w:bCs/>
          <w:caps/>
          <w:sz w:val="28"/>
          <w:szCs w:val="28"/>
        </w:rPr>
        <w:t>du fait</w:t>
      </w:r>
      <w:r w:rsidR="44D50EDE" w:rsidRPr="1B75D988">
        <w:rPr>
          <w:rFonts w:asciiTheme="minorHAnsi" w:hAnsiTheme="minorHAnsi" w:cstheme="minorBidi"/>
          <w:b/>
          <w:bCs/>
          <w:caps/>
          <w:sz w:val="28"/>
          <w:szCs w:val="28"/>
        </w:rPr>
        <w:t xml:space="preserve"> </w:t>
      </w:r>
      <w:r w:rsidR="00DC7E52" w:rsidRPr="1B75D988">
        <w:rPr>
          <w:rFonts w:asciiTheme="minorHAnsi" w:hAnsiTheme="minorHAnsi" w:cstheme="minorBidi"/>
          <w:b/>
          <w:bCs/>
          <w:caps/>
          <w:sz w:val="28"/>
          <w:szCs w:val="28"/>
        </w:rPr>
        <w:t>DE</w:t>
      </w:r>
      <w:r w:rsidR="00A2387E">
        <w:rPr>
          <w:rFonts w:asciiTheme="minorHAnsi" w:hAnsiTheme="minorHAnsi" w:cstheme="minorBidi"/>
          <w:b/>
          <w:bCs/>
          <w:caps/>
          <w:sz w:val="28"/>
          <w:szCs w:val="28"/>
        </w:rPr>
        <w:t xml:space="preserve"> l’imprévisibilite</w:t>
      </w:r>
      <w:r w:rsidR="00DC7E52" w:rsidRPr="1B75D988">
        <w:rPr>
          <w:rFonts w:asciiTheme="minorHAnsi" w:hAnsiTheme="minorHAnsi" w:cstheme="minorBidi"/>
          <w:b/>
          <w:bCs/>
          <w:caps/>
          <w:sz w:val="28"/>
          <w:szCs w:val="28"/>
        </w:rPr>
        <w:t xml:space="preserve"> </w:t>
      </w:r>
      <w:r w:rsidR="000860D6">
        <w:rPr>
          <w:rFonts w:asciiTheme="minorHAnsi" w:hAnsiTheme="minorHAnsi" w:cstheme="minorBidi"/>
          <w:b/>
          <w:bCs/>
          <w:caps/>
          <w:sz w:val="28"/>
          <w:szCs w:val="28"/>
        </w:rPr>
        <w:t xml:space="preserve">elevee </w:t>
      </w:r>
      <w:r w:rsidR="00DC7E52" w:rsidRPr="1B75D988">
        <w:rPr>
          <w:rFonts w:asciiTheme="minorHAnsi" w:hAnsiTheme="minorHAnsi" w:cstheme="minorBidi"/>
          <w:b/>
          <w:bCs/>
          <w:caps/>
          <w:sz w:val="28"/>
          <w:szCs w:val="28"/>
        </w:rPr>
        <w:t>SUR L</w:t>
      </w:r>
      <w:r w:rsidR="00DC7E52">
        <w:rPr>
          <w:rFonts w:asciiTheme="minorHAnsi" w:hAnsiTheme="minorHAnsi" w:cstheme="minorBidi"/>
          <w:b/>
          <w:bCs/>
          <w:caps/>
          <w:sz w:val="28"/>
          <w:szCs w:val="28"/>
        </w:rPr>
        <w:t xml:space="preserve">ES DROITS DE DOUANE AUX USA, </w:t>
      </w:r>
      <w:r w:rsidR="00CD0983">
        <w:rPr>
          <w:rFonts w:asciiTheme="minorHAnsi" w:hAnsiTheme="minorHAnsi" w:cstheme="minorBidi"/>
          <w:b/>
          <w:bCs/>
          <w:caps/>
          <w:sz w:val="28"/>
          <w:szCs w:val="28"/>
        </w:rPr>
        <w:t>l</w:t>
      </w:r>
      <w:r w:rsidR="44D50EDE" w:rsidRPr="1B75D988">
        <w:rPr>
          <w:rFonts w:asciiTheme="minorHAnsi" w:hAnsiTheme="minorHAnsi" w:cstheme="minorBidi"/>
          <w:b/>
          <w:bCs/>
          <w:caps/>
          <w:sz w:val="28"/>
          <w:szCs w:val="28"/>
        </w:rPr>
        <w:t xml:space="preserve">ES COUTS </w:t>
      </w:r>
      <w:r w:rsidR="2B2712E2" w:rsidRPr="1B75D988">
        <w:rPr>
          <w:rFonts w:asciiTheme="minorHAnsi" w:hAnsiTheme="minorHAnsi" w:cstheme="minorBidi"/>
          <w:b/>
          <w:bCs/>
          <w:caps/>
          <w:sz w:val="28"/>
          <w:szCs w:val="28"/>
        </w:rPr>
        <w:t>de fret</w:t>
      </w:r>
      <w:r w:rsidR="73DC5061" w:rsidRPr="1B75D988">
        <w:rPr>
          <w:rFonts w:asciiTheme="minorHAnsi" w:hAnsiTheme="minorHAnsi" w:cstheme="minorBidi"/>
          <w:b/>
          <w:bCs/>
          <w:caps/>
          <w:sz w:val="28"/>
          <w:szCs w:val="28"/>
        </w:rPr>
        <w:t>,</w:t>
      </w:r>
      <w:r w:rsidR="44D50EDE" w:rsidRPr="1B75D988">
        <w:rPr>
          <w:rFonts w:asciiTheme="minorHAnsi" w:hAnsiTheme="minorHAnsi" w:cstheme="minorBidi"/>
          <w:b/>
          <w:bCs/>
          <w:caps/>
          <w:sz w:val="28"/>
          <w:szCs w:val="28"/>
        </w:rPr>
        <w:t xml:space="preserve"> </w:t>
      </w:r>
      <w:r w:rsidR="00CD0983">
        <w:rPr>
          <w:rFonts w:asciiTheme="minorHAnsi" w:hAnsiTheme="minorHAnsi" w:cstheme="minorBidi"/>
          <w:b/>
          <w:bCs/>
          <w:caps/>
          <w:sz w:val="28"/>
          <w:szCs w:val="28"/>
        </w:rPr>
        <w:t>l</w:t>
      </w:r>
      <w:r w:rsidR="44D50EDE" w:rsidRPr="1B75D988">
        <w:rPr>
          <w:rFonts w:asciiTheme="minorHAnsi" w:hAnsiTheme="minorHAnsi" w:cstheme="minorBidi"/>
          <w:b/>
          <w:bCs/>
          <w:caps/>
          <w:sz w:val="28"/>
          <w:szCs w:val="28"/>
        </w:rPr>
        <w:t>E</w:t>
      </w:r>
      <w:r w:rsidR="0E0BA69C" w:rsidRPr="1B75D988">
        <w:rPr>
          <w:rFonts w:asciiTheme="minorHAnsi" w:hAnsiTheme="minorHAnsi" w:cstheme="minorBidi"/>
          <w:b/>
          <w:bCs/>
          <w:caps/>
          <w:sz w:val="28"/>
          <w:szCs w:val="28"/>
        </w:rPr>
        <w:t>S</w:t>
      </w:r>
      <w:r w:rsidR="44D50EDE" w:rsidRPr="1B75D988">
        <w:rPr>
          <w:rFonts w:asciiTheme="minorHAnsi" w:hAnsiTheme="minorHAnsi" w:cstheme="minorBidi"/>
          <w:b/>
          <w:bCs/>
          <w:caps/>
          <w:sz w:val="28"/>
          <w:szCs w:val="28"/>
        </w:rPr>
        <w:t xml:space="preserve"> </w:t>
      </w:r>
      <w:r w:rsidR="75703CF0" w:rsidRPr="1B75D988">
        <w:rPr>
          <w:rFonts w:asciiTheme="minorHAnsi" w:hAnsiTheme="minorHAnsi" w:cstheme="minorBidi"/>
          <w:b/>
          <w:bCs/>
          <w:caps/>
          <w:sz w:val="28"/>
          <w:szCs w:val="28"/>
        </w:rPr>
        <w:t>parités</w:t>
      </w:r>
      <w:r w:rsidR="44D50EDE" w:rsidRPr="1B75D988">
        <w:rPr>
          <w:rFonts w:asciiTheme="minorHAnsi" w:hAnsiTheme="minorHAnsi" w:cstheme="minorBidi"/>
          <w:b/>
          <w:bCs/>
          <w:caps/>
          <w:sz w:val="28"/>
          <w:szCs w:val="28"/>
        </w:rPr>
        <w:t xml:space="preserve"> de change</w:t>
      </w:r>
      <w:r w:rsidR="000860D6">
        <w:rPr>
          <w:rFonts w:asciiTheme="minorHAnsi" w:hAnsiTheme="minorHAnsi" w:cstheme="minorBidi"/>
          <w:b/>
          <w:bCs/>
          <w:caps/>
          <w:sz w:val="28"/>
          <w:szCs w:val="28"/>
        </w:rPr>
        <w:t xml:space="preserve"> ET LA CONSOMMATION</w:t>
      </w:r>
      <w:r w:rsidR="42EBDF9E" w:rsidRPr="1B75D988">
        <w:rPr>
          <w:rFonts w:asciiTheme="minorHAnsi" w:hAnsiTheme="minorHAnsi" w:cstheme="minorBidi"/>
          <w:b/>
          <w:bCs/>
          <w:caps/>
          <w:sz w:val="28"/>
          <w:szCs w:val="28"/>
        </w:rPr>
        <w:t xml:space="preserve">. </w:t>
      </w:r>
    </w:p>
    <w:p w14:paraId="49F16E91" w14:textId="77777777" w:rsidR="009E1556" w:rsidRPr="00DB4A10" w:rsidRDefault="009E1556" w:rsidP="007C24EB">
      <w:pPr>
        <w:spacing w:after="80"/>
        <w:jc w:val="both"/>
        <w:outlineLvl w:val="0"/>
        <w:rPr>
          <w:rFonts w:asciiTheme="minorHAnsi" w:hAnsiTheme="minorHAnsi" w:cstheme="minorBidi"/>
          <w:b/>
          <w:bCs/>
          <w:caps/>
          <w:sz w:val="28"/>
          <w:szCs w:val="28"/>
        </w:rPr>
      </w:pPr>
    </w:p>
    <w:p w14:paraId="7EAEBF8F" w14:textId="49635265" w:rsidR="001F1E8C" w:rsidRPr="00DB4A10" w:rsidRDefault="360B6B1D" w:rsidP="6BEB91E7">
      <w:pPr>
        <w:numPr>
          <w:ilvl w:val="0"/>
          <w:numId w:val="21"/>
        </w:numPr>
        <w:spacing w:after="80"/>
        <w:jc w:val="both"/>
        <w:outlineLvl w:val="0"/>
        <w:rPr>
          <w:rFonts w:asciiTheme="minorHAnsi" w:hAnsiTheme="minorHAnsi" w:cstheme="minorBidi"/>
          <w:b/>
          <w:bCs/>
          <w:sz w:val="24"/>
          <w:szCs w:val="24"/>
        </w:rPr>
      </w:pPr>
      <w:r w:rsidRPr="6BEB91E7">
        <w:rPr>
          <w:rFonts w:asciiTheme="minorHAnsi" w:hAnsiTheme="minorHAnsi" w:cstheme="minorBidi"/>
          <w:b/>
          <w:bCs/>
          <w:sz w:val="24"/>
          <w:szCs w:val="24"/>
        </w:rPr>
        <w:t>C</w:t>
      </w:r>
      <w:r w:rsidR="65804E2B" w:rsidRPr="6BEB91E7">
        <w:rPr>
          <w:rFonts w:asciiTheme="minorHAnsi" w:hAnsiTheme="minorHAnsi" w:cstheme="minorBidi"/>
          <w:b/>
          <w:bCs/>
          <w:sz w:val="24"/>
          <w:szCs w:val="24"/>
        </w:rPr>
        <w:t>hiffre d’affaires</w:t>
      </w:r>
      <w:r w:rsidRPr="6BEB91E7">
        <w:rPr>
          <w:rFonts w:asciiTheme="minorHAnsi" w:hAnsiTheme="minorHAnsi" w:cstheme="minorBidi"/>
          <w:b/>
          <w:bCs/>
          <w:sz w:val="24"/>
          <w:szCs w:val="24"/>
        </w:rPr>
        <w:t xml:space="preserve"> annuel : </w:t>
      </w:r>
      <w:r w:rsidR="236A09D2" w:rsidRPr="6BEB91E7">
        <w:rPr>
          <w:rFonts w:asciiTheme="minorHAnsi" w:hAnsiTheme="minorHAnsi" w:cstheme="minorBidi"/>
          <w:b/>
          <w:bCs/>
          <w:sz w:val="24"/>
          <w:szCs w:val="24"/>
        </w:rPr>
        <w:t xml:space="preserve">un exercice fiscal </w:t>
      </w:r>
      <w:r w:rsidR="2C8F2AF8" w:rsidRPr="6BEB91E7">
        <w:rPr>
          <w:rFonts w:asciiTheme="minorHAnsi" w:hAnsiTheme="minorHAnsi" w:cstheme="minorBidi"/>
          <w:b/>
          <w:bCs/>
          <w:sz w:val="24"/>
          <w:szCs w:val="24"/>
        </w:rPr>
        <w:t>historique</w:t>
      </w:r>
      <w:r w:rsidR="7AD296BB" w:rsidRPr="6BEB91E7">
        <w:rPr>
          <w:rFonts w:asciiTheme="minorHAnsi" w:hAnsiTheme="minorHAnsi" w:cstheme="minorBidi"/>
          <w:b/>
          <w:bCs/>
          <w:sz w:val="24"/>
          <w:szCs w:val="24"/>
        </w:rPr>
        <w:t xml:space="preserve"> après </w:t>
      </w:r>
      <w:r w:rsidR="5EB608CB" w:rsidRPr="6BEB91E7">
        <w:rPr>
          <w:rFonts w:asciiTheme="minorHAnsi" w:hAnsiTheme="minorHAnsi" w:cstheme="minorBidi"/>
          <w:b/>
          <w:bCs/>
          <w:sz w:val="24"/>
          <w:szCs w:val="24"/>
        </w:rPr>
        <w:t>5</w:t>
      </w:r>
      <w:r w:rsidR="7AD296BB" w:rsidRPr="6BEB91E7">
        <w:rPr>
          <w:rFonts w:asciiTheme="minorHAnsi" w:hAnsiTheme="minorHAnsi" w:cstheme="minorBidi"/>
          <w:b/>
          <w:bCs/>
          <w:sz w:val="24"/>
          <w:szCs w:val="24"/>
        </w:rPr>
        <w:t xml:space="preserve"> années </w:t>
      </w:r>
      <w:r w:rsidR="00BF6D73">
        <w:rPr>
          <w:rFonts w:asciiTheme="minorHAnsi" w:hAnsiTheme="minorHAnsi" w:cstheme="minorBidi"/>
          <w:b/>
          <w:bCs/>
          <w:sz w:val="24"/>
          <w:szCs w:val="24"/>
        </w:rPr>
        <w:t xml:space="preserve">consécutives </w:t>
      </w:r>
      <w:r w:rsidR="7AD296BB" w:rsidRPr="6BEB91E7">
        <w:rPr>
          <w:rFonts w:asciiTheme="minorHAnsi" w:hAnsiTheme="minorHAnsi" w:cstheme="minorBidi"/>
          <w:b/>
          <w:bCs/>
          <w:sz w:val="24"/>
          <w:szCs w:val="24"/>
        </w:rPr>
        <w:t>de croissance</w:t>
      </w:r>
      <w:r w:rsidR="7D1E0980" w:rsidRPr="6BEB91E7">
        <w:rPr>
          <w:rFonts w:asciiTheme="minorHAnsi" w:hAnsiTheme="minorHAnsi" w:cstheme="minorBidi"/>
          <w:b/>
          <w:bCs/>
          <w:sz w:val="24"/>
          <w:szCs w:val="24"/>
        </w:rPr>
        <w:t>.</w:t>
      </w:r>
      <w:r w:rsidR="09A92B13" w:rsidRPr="6BEB91E7">
        <w:rPr>
          <w:rFonts w:asciiTheme="minorHAnsi" w:hAnsiTheme="minorHAnsi" w:cstheme="minorBidi"/>
          <w:b/>
          <w:bCs/>
          <w:sz w:val="24"/>
          <w:szCs w:val="24"/>
        </w:rPr>
        <w:t xml:space="preserve"> Sur l’exercice fiscal complet qui était en croissance de </w:t>
      </w:r>
      <w:r w:rsidR="6AAC44D4" w:rsidRPr="6BEB91E7">
        <w:rPr>
          <w:rFonts w:asciiTheme="minorHAnsi" w:hAnsiTheme="minorHAnsi" w:cstheme="minorBidi"/>
          <w:b/>
          <w:bCs/>
          <w:sz w:val="24"/>
          <w:szCs w:val="24"/>
        </w:rPr>
        <w:t>1</w:t>
      </w:r>
      <w:r w:rsidR="5A57908D" w:rsidRPr="6BEB91E7">
        <w:rPr>
          <w:rFonts w:asciiTheme="minorHAnsi" w:hAnsiTheme="minorHAnsi" w:cstheme="minorBidi"/>
          <w:b/>
          <w:bCs/>
          <w:sz w:val="24"/>
          <w:szCs w:val="24"/>
        </w:rPr>
        <w:t>4,4</w:t>
      </w:r>
      <w:r w:rsidR="09A92B13" w:rsidRPr="6BEB91E7">
        <w:rPr>
          <w:rFonts w:asciiTheme="minorHAnsi" w:hAnsiTheme="minorHAnsi" w:cstheme="minorBidi"/>
          <w:b/>
          <w:bCs/>
          <w:sz w:val="24"/>
          <w:szCs w:val="24"/>
        </w:rPr>
        <w:t>% en 2</w:t>
      </w:r>
      <w:r w:rsidR="529248C2" w:rsidRPr="6BEB91E7">
        <w:rPr>
          <w:rFonts w:asciiTheme="minorHAnsi" w:hAnsiTheme="minorHAnsi" w:cstheme="minorBidi"/>
          <w:b/>
          <w:bCs/>
          <w:sz w:val="24"/>
          <w:szCs w:val="24"/>
        </w:rPr>
        <w:t>3</w:t>
      </w:r>
      <w:r w:rsidR="09A92B13" w:rsidRPr="6BEB91E7">
        <w:rPr>
          <w:rFonts w:asciiTheme="minorHAnsi" w:hAnsiTheme="minorHAnsi" w:cstheme="minorBidi"/>
          <w:b/>
          <w:bCs/>
          <w:sz w:val="24"/>
          <w:szCs w:val="24"/>
        </w:rPr>
        <w:t>-2</w:t>
      </w:r>
      <w:r w:rsidR="36514F52" w:rsidRPr="6BEB91E7">
        <w:rPr>
          <w:rFonts w:asciiTheme="minorHAnsi" w:hAnsiTheme="minorHAnsi" w:cstheme="minorBidi"/>
          <w:b/>
          <w:bCs/>
          <w:sz w:val="24"/>
          <w:szCs w:val="24"/>
        </w:rPr>
        <w:t>4</w:t>
      </w:r>
      <w:r w:rsidR="09A92B13" w:rsidRPr="6BEB91E7">
        <w:rPr>
          <w:rFonts w:asciiTheme="minorHAnsi" w:hAnsiTheme="minorHAnsi" w:cstheme="minorBidi"/>
          <w:b/>
          <w:bCs/>
          <w:sz w:val="24"/>
          <w:szCs w:val="24"/>
        </w:rPr>
        <w:t xml:space="preserve">, le CA progresse encore de </w:t>
      </w:r>
      <w:r w:rsidR="74ED7AE9" w:rsidRPr="6BEB91E7">
        <w:rPr>
          <w:rFonts w:asciiTheme="minorHAnsi" w:hAnsiTheme="minorHAnsi" w:cstheme="minorBidi"/>
          <w:b/>
          <w:bCs/>
          <w:sz w:val="24"/>
          <w:szCs w:val="24"/>
        </w:rPr>
        <w:t>26,3</w:t>
      </w:r>
      <w:r w:rsidR="09A92B13" w:rsidRPr="6BEB91E7">
        <w:rPr>
          <w:rFonts w:asciiTheme="minorHAnsi" w:hAnsiTheme="minorHAnsi" w:cstheme="minorBidi"/>
          <w:b/>
          <w:bCs/>
          <w:sz w:val="24"/>
          <w:szCs w:val="24"/>
        </w:rPr>
        <w:t xml:space="preserve">% à </w:t>
      </w:r>
      <w:r w:rsidR="7DBF3690" w:rsidRPr="6BEB91E7">
        <w:rPr>
          <w:rFonts w:asciiTheme="minorHAnsi" w:hAnsiTheme="minorHAnsi" w:cstheme="minorBidi"/>
          <w:b/>
          <w:bCs/>
          <w:sz w:val="24"/>
          <w:szCs w:val="24"/>
        </w:rPr>
        <w:t>74,0</w:t>
      </w:r>
      <w:r w:rsidR="09A92B13" w:rsidRPr="6BEB91E7">
        <w:rPr>
          <w:rFonts w:asciiTheme="minorHAnsi" w:hAnsiTheme="minorHAnsi" w:cstheme="minorBidi"/>
          <w:b/>
          <w:bCs/>
          <w:sz w:val="24"/>
          <w:szCs w:val="24"/>
        </w:rPr>
        <w:t xml:space="preserve">M€ vs </w:t>
      </w:r>
      <w:r w:rsidR="34747166" w:rsidRPr="6BEB91E7">
        <w:rPr>
          <w:rFonts w:asciiTheme="minorHAnsi" w:hAnsiTheme="minorHAnsi" w:cstheme="minorBidi"/>
          <w:b/>
          <w:bCs/>
          <w:sz w:val="24"/>
          <w:szCs w:val="24"/>
        </w:rPr>
        <w:t>5</w:t>
      </w:r>
      <w:r w:rsidR="2123C67C" w:rsidRPr="6BEB91E7">
        <w:rPr>
          <w:rFonts w:asciiTheme="minorHAnsi" w:hAnsiTheme="minorHAnsi" w:cstheme="minorBidi"/>
          <w:b/>
          <w:bCs/>
          <w:sz w:val="24"/>
          <w:szCs w:val="24"/>
        </w:rPr>
        <w:t>8,6</w:t>
      </w:r>
      <w:r w:rsidR="09A92B13" w:rsidRPr="6BEB91E7">
        <w:rPr>
          <w:rFonts w:asciiTheme="minorHAnsi" w:hAnsiTheme="minorHAnsi" w:cstheme="minorBidi"/>
          <w:b/>
          <w:bCs/>
          <w:sz w:val="24"/>
          <w:szCs w:val="24"/>
        </w:rPr>
        <w:t>M€ un an plus tôt</w:t>
      </w:r>
      <w:r w:rsidR="00B14DED">
        <w:rPr>
          <w:rFonts w:asciiTheme="minorHAnsi" w:hAnsiTheme="minorHAnsi" w:cstheme="minorBidi"/>
          <w:b/>
          <w:bCs/>
          <w:sz w:val="24"/>
          <w:szCs w:val="24"/>
        </w:rPr>
        <w:t>,</w:t>
      </w:r>
      <w:r w:rsidR="00300757">
        <w:rPr>
          <w:rFonts w:asciiTheme="minorHAnsi" w:hAnsiTheme="minorHAnsi" w:cstheme="minorBidi"/>
          <w:b/>
          <w:bCs/>
          <w:sz w:val="24"/>
          <w:szCs w:val="24"/>
        </w:rPr>
        <w:t xml:space="preserve"> notamment grâce à la performance des licences</w:t>
      </w:r>
      <w:r w:rsidR="09A92B13" w:rsidRPr="6BEB91E7">
        <w:rPr>
          <w:rFonts w:asciiTheme="minorHAnsi" w:hAnsiTheme="minorHAnsi" w:cstheme="minorBidi"/>
          <w:b/>
          <w:bCs/>
          <w:sz w:val="24"/>
          <w:szCs w:val="24"/>
        </w:rPr>
        <w:t xml:space="preserve">. </w:t>
      </w:r>
    </w:p>
    <w:p w14:paraId="3A8636D2" w14:textId="4B9E4068" w:rsidR="6A676B1B" w:rsidRPr="00DB4A10" w:rsidRDefault="2D3CF9D9" w:rsidP="6BEB91E7">
      <w:pPr>
        <w:numPr>
          <w:ilvl w:val="0"/>
          <w:numId w:val="21"/>
        </w:numPr>
        <w:spacing w:after="80"/>
        <w:jc w:val="both"/>
        <w:rPr>
          <w:rFonts w:asciiTheme="minorHAnsi" w:hAnsiTheme="minorHAnsi" w:cstheme="minorBidi"/>
          <w:b/>
          <w:bCs/>
          <w:sz w:val="24"/>
          <w:szCs w:val="24"/>
        </w:rPr>
      </w:pPr>
      <w:r w:rsidRPr="6BEB91E7">
        <w:rPr>
          <w:rFonts w:asciiTheme="minorHAnsi" w:hAnsiTheme="minorHAnsi" w:cstheme="minorBidi"/>
          <w:b/>
          <w:bCs/>
          <w:sz w:val="24"/>
          <w:szCs w:val="24"/>
        </w:rPr>
        <w:t>Dans un contexte d</w:t>
      </w:r>
      <w:r w:rsidR="3ACD9C14" w:rsidRPr="6BEB91E7">
        <w:rPr>
          <w:rFonts w:asciiTheme="minorHAnsi" w:hAnsiTheme="minorHAnsi" w:cstheme="minorBidi"/>
          <w:b/>
          <w:bCs/>
          <w:sz w:val="24"/>
          <w:szCs w:val="24"/>
        </w:rPr>
        <w:t>e dépr</w:t>
      </w:r>
      <w:r w:rsidRPr="6BEB91E7">
        <w:rPr>
          <w:rFonts w:asciiTheme="minorHAnsi" w:hAnsiTheme="minorHAnsi" w:cstheme="minorBidi"/>
          <w:b/>
          <w:bCs/>
          <w:sz w:val="24"/>
          <w:szCs w:val="24"/>
        </w:rPr>
        <w:t xml:space="preserve">éciation de l’euro vs l’USD de l’ordre de </w:t>
      </w:r>
      <w:r w:rsidR="1083D63A" w:rsidRPr="6BEB91E7">
        <w:rPr>
          <w:rFonts w:asciiTheme="minorHAnsi" w:hAnsiTheme="minorHAnsi" w:cstheme="minorBidi"/>
          <w:b/>
          <w:bCs/>
          <w:sz w:val="24"/>
          <w:szCs w:val="24"/>
        </w:rPr>
        <w:t>1,0</w:t>
      </w:r>
      <w:r w:rsidRPr="6BEB91E7">
        <w:rPr>
          <w:rFonts w:asciiTheme="minorHAnsi" w:hAnsiTheme="minorHAnsi" w:cstheme="minorBidi"/>
          <w:b/>
          <w:bCs/>
          <w:sz w:val="24"/>
          <w:szCs w:val="24"/>
        </w:rPr>
        <w:t xml:space="preserve">% en 1 an, et d’une </w:t>
      </w:r>
      <w:r w:rsidR="76A9B6E8" w:rsidRPr="6BEB91E7">
        <w:rPr>
          <w:rFonts w:asciiTheme="minorHAnsi" w:hAnsiTheme="minorHAnsi" w:cstheme="minorBidi"/>
          <w:b/>
          <w:bCs/>
          <w:sz w:val="24"/>
          <w:szCs w:val="24"/>
        </w:rPr>
        <w:t xml:space="preserve">augmentation </w:t>
      </w:r>
      <w:r w:rsidRPr="6BEB91E7">
        <w:rPr>
          <w:rFonts w:asciiTheme="minorHAnsi" w:hAnsiTheme="minorHAnsi" w:cstheme="minorBidi"/>
          <w:b/>
          <w:bCs/>
          <w:sz w:val="24"/>
          <w:szCs w:val="24"/>
        </w:rPr>
        <w:t xml:space="preserve">des coûts de </w:t>
      </w:r>
      <w:bookmarkStart w:id="0" w:name="_Int_w5XQDUSx"/>
      <w:r w:rsidRPr="6BEB91E7">
        <w:rPr>
          <w:rFonts w:asciiTheme="minorHAnsi" w:hAnsiTheme="minorHAnsi" w:cstheme="minorBidi"/>
          <w:b/>
          <w:bCs/>
          <w:sz w:val="24"/>
          <w:szCs w:val="24"/>
        </w:rPr>
        <w:t>fret très significative</w:t>
      </w:r>
      <w:bookmarkEnd w:id="0"/>
      <w:r w:rsidRPr="6BEB91E7">
        <w:rPr>
          <w:rFonts w:asciiTheme="minorHAnsi" w:hAnsiTheme="minorHAnsi" w:cstheme="minorBidi"/>
          <w:b/>
          <w:bCs/>
          <w:sz w:val="24"/>
          <w:szCs w:val="24"/>
        </w:rPr>
        <w:t xml:space="preserve">, les marges du Groupe </w:t>
      </w:r>
      <w:r w:rsidR="00770D67">
        <w:rPr>
          <w:rFonts w:asciiTheme="minorHAnsi" w:hAnsiTheme="minorHAnsi" w:cstheme="minorBidi"/>
          <w:b/>
          <w:bCs/>
          <w:sz w:val="24"/>
          <w:szCs w:val="24"/>
        </w:rPr>
        <w:t>sont restées</w:t>
      </w:r>
      <w:r w:rsidR="00706791">
        <w:rPr>
          <w:rFonts w:asciiTheme="minorHAnsi" w:hAnsiTheme="minorHAnsi" w:cstheme="minorBidi"/>
          <w:b/>
          <w:bCs/>
          <w:sz w:val="24"/>
          <w:szCs w:val="24"/>
        </w:rPr>
        <w:t xml:space="preserve"> stables</w:t>
      </w:r>
      <w:r w:rsidRPr="6BEB91E7">
        <w:rPr>
          <w:rFonts w:asciiTheme="minorHAnsi" w:hAnsiTheme="minorHAnsi" w:cstheme="minorBidi"/>
          <w:b/>
          <w:bCs/>
          <w:sz w:val="24"/>
          <w:szCs w:val="24"/>
        </w:rPr>
        <w:t xml:space="preserve"> dans la mesure où Lexibook a réussi à maintenir ses tarifs, voir à les augmenter de manière ciblée et a continué à lancer de</w:t>
      </w:r>
      <w:r w:rsidR="4988B72F" w:rsidRPr="6BEB91E7">
        <w:rPr>
          <w:rFonts w:asciiTheme="minorHAnsi" w:hAnsiTheme="minorHAnsi" w:cstheme="minorBidi"/>
          <w:b/>
          <w:bCs/>
          <w:sz w:val="24"/>
          <w:szCs w:val="24"/>
        </w:rPr>
        <w:t xml:space="preserve">s </w:t>
      </w:r>
      <w:r w:rsidRPr="6BEB91E7">
        <w:rPr>
          <w:rFonts w:asciiTheme="minorHAnsi" w:hAnsiTheme="minorHAnsi" w:cstheme="minorBidi"/>
          <w:b/>
          <w:bCs/>
          <w:sz w:val="24"/>
          <w:szCs w:val="24"/>
        </w:rPr>
        <w:t xml:space="preserve">nouveautés à forte rentabilité. La marge </w:t>
      </w:r>
      <w:r w:rsidR="1760DAA9" w:rsidRPr="6BEB91E7">
        <w:rPr>
          <w:rFonts w:asciiTheme="minorHAnsi" w:hAnsiTheme="minorHAnsi" w:cstheme="minorBidi"/>
          <w:b/>
          <w:bCs/>
          <w:sz w:val="24"/>
          <w:szCs w:val="24"/>
        </w:rPr>
        <w:t>4</w:t>
      </w:r>
      <w:r w:rsidR="74BCC36A" w:rsidRPr="6BEB91E7">
        <w:rPr>
          <w:rFonts w:asciiTheme="minorHAnsi" w:hAnsiTheme="minorHAnsi" w:cstheme="minorBidi"/>
          <w:b/>
          <w:bCs/>
          <w:sz w:val="24"/>
          <w:szCs w:val="24"/>
        </w:rPr>
        <w:t xml:space="preserve"> net</w:t>
      </w:r>
      <w:r w:rsidR="5F5D0CC6" w:rsidRPr="6BEB91E7">
        <w:rPr>
          <w:rFonts w:asciiTheme="minorHAnsi" w:hAnsiTheme="minorHAnsi" w:cstheme="minorBidi"/>
          <w:b/>
          <w:bCs/>
          <w:sz w:val="24"/>
          <w:szCs w:val="24"/>
        </w:rPr>
        <w:t>s</w:t>
      </w:r>
      <w:r w:rsidR="74BCC36A" w:rsidRPr="6BEB91E7">
        <w:rPr>
          <w:rFonts w:asciiTheme="minorHAnsi" w:hAnsiTheme="minorHAnsi" w:cstheme="minorBidi"/>
          <w:b/>
          <w:bCs/>
          <w:sz w:val="24"/>
          <w:szCs w:val="24"/>
        </w:rPr>
        <w:t xml:space="preserve"> retraitée</w:t>
      </w:r>
      <w:r w:rsidR="1760DAA9" w:rsidRPr="6BEB91E7">
        <w:rPr>
          <w:rFonts w:asciiTheme="minorHAnsi" w:hAnsiTheme="minorHAnsi" w:cstheme="minorBidi"/>
          <w:b/>
          <w:bCs/>
          <w:sz w:val="24"/>
          <w:szCs w:val="24"/>
        </w:rPr>
        <w:t xml:space="preserve"> </w:t>
      </w:r>
      <w:r w:rsidRPr="6BEB91E7">
        <w:rPr>
          <w:rFonts w:asciiTheme="minorHAnsi" w:hAnsiTheme="minorHAnsi" w:cstheme="minorBidi"/>
          <w:b/>
          <w:bCs/>
          <w:sz w:val="24"/>
          <w:szCs w:val="24"/>
        </w:rPr>
        <w:t xml:space="preserve">sur l’exercice ressort ainsi à un niveau de </w:t>
      </w:r>
      <w:r w:rsidR="2612FD84" w:rsidRPr="6BEB91E7">
        <w:rPr>
          <w:rFonts w:asciiTheme="minorHAnsi" w:hAnsiTheme="minorHAnsi" w:cstheme="minorBidi"/>
          <w:b/>
          <w:bCs/>
          <w:sz w:val="24"/>
          <w:szCs w:val="24"/>
        </w:rPr>
        <w:t>38</w:t>
      </w:r>
      <w:r w:rsidR="605D2019" w:rsidRPr="6BEB91E7">
        <w:rPr>
          <w:rFonts w:asciiTheme="minorHAnsi" w:hAnsiTheme="minorHAnsi" w:cstheme="minorBidi"/>
          <w:b/>
          <w:bCs/>
          <w:sz w:val="24"/>
          <w:szCs w:val="24"/>
        </w:rPr>
        <w:t>,7</w:t>
      </w:r>
      <w:r w:rsidRPr="6BEB91E7">
        <w:rPr>
          <w:rFonts w:asciiTheme="minorHAnsi" w:hAnsiTheme="minorHAnsi" w:cstheme="minorBidi"/>
          <w:b/>
          <w:bCs/>
          <w:sz w:val="24"/>
          <w:szCs w:val="24"/>
        </w:rPr>
        <w:t xml:space="preserve">% vs </w:t>
      </w:r>
      <w:r w:rsidR="52DD7D39" w:rsidRPr="6BEB91E7">
        <w:rPr>
          <w:rFonts w:asciiTheme="minorHAnsi" w:hAnsiTheme="minorHAnsi" w:cstheme="minorBidi"/>
          <w:b/>
          <w:bCs/>
          <w:sz w:val="24"/>
          <w:szCs w:val="24"/>
        </w:rPr>
        <w:t>3</w:t>
      </w:r>
      <w:r w:rsidR="12913ED9" w:rsidRPr="6BEB91E7">
        <w:rPr>
          <w:rFonts w:asciiTheme="minorHAnsi" w:hAnsiTheme="minorHAnsi" w:cstheme="minorBidi"/>
          <w:b/>
          <w:bCs/>
          <w:sz w:val="24"/>
          <w:szCs w:val="24"/>
        </w:rPr>
        <w:t>8,6</w:t>
      </w:r>
      <w:r w:rsidRPr="6BEB91E7">
        <w:rPr>
          <w:rFonts w:asciiTheme="minorHAnsi" w:hAnsiTheme="minorHAnsi" w:cstheme="minorBidi"/>
          <w:b/>
          <w:bCs/>
          <w:sz w:val="24"/>
          <w:szCs w:val="24"/>
        </w:rPr>
        <w:t xml:space="preserve">% l’année précédente, en progression de </w:t>
      </w:r>
      <w:r w:rsidR="06601E32" w:rsidRPr="6BEB91E7">
        <w:rPr>
          <w:rFonts w:asciiTheme="minorHAnsi" w:hAnsiTheme="minorHAnsi" w:cstheme="minorBidi"/>
          <w:b/>
          <w:bCs/>
          <w:sz w:val="24"/>
          <w:szCs w:val="24"/>
        </w:rPr>
        <w:t>6,0</w:t>
      </w:r>
      <w:r w:rsidRPr="6BEB91E7">
        <w:rPr>
          <w:rFonts w:asciiTheme="minorHAnsi" w:hAnsiTheme="minorHAnsi" w:cstheme="minorBidi"/>
          <w:b/>
          <w:bCs/>
          <w:sz w:val="24"/>
          <w:szCs w:val="24"/>
        </w:rPr>
        <w:t xml:space="preserve"> M€ vs N-1</w:t>
      </w:r>
      <w:r w:rsidR="004F34DC">
        <w:rPr>
          <w:rFonts w:asciiTheme="minorHAnsi" w:hAnsiTheme="minorHAnsi" w:cstheme="minorBidi"/>
          <w:b/>
          <w:bCs/>
          <w:sz w:val="24"/>
          <w:szCs w:val="24"/>
        </w:rPr>
        <w:t xml:space="preserve"> grâce à la hausse de l’activité</w:t>
      </w:r>
      <w:r w:rsidRPr="6BEB91E7">
        <w:rPr>
          <w:rFonts w:asciiTheme="minorHAnsi" w:hAnsiTheme="minorHAnsi" w:cstheme="minorBidi"/>
          <w:b/>
          <w:bCs/>
          <w:sz w:val="24"/>
          <w:szCs w:val="24"/>
        </w:rPr>
        <w:t>.</w:t>
      </w:r>
    </w:p>
    <w:p w14:paraId="6C4AB798" w14:textId="46D00BB0" w:rsidR="00831F26" w:rsidRPr="00DB4A10" w:rsidRDefault="5EDCCE6D" w:rsidP="6BEB91E7">
      <w:pPr>
        <w:numPr>
          <w:ilvl w:val="0"/>
          <w:numId w:val="21"/>
        </w:numPr>
        <w:spacing w:after="80"/>
        <w:jc w:val="both"/>
        <w:rPr>
          <w:rFonts w:asciiTheme="minorHAnsi" w:hAnsiTheme="minorHAnsi" w:cstheme="minorBidi"/>
          <w:b/>
          <w:bCs/>
          <w:sz w:val="24"/>
          <w:szCs w:val="24"/>
        </w:rPr>
      </w:pPr>
      <w:r w:rsidRPr="6BEB91E7">
        <w:rPr>
          <w:rFonts w:asciiTheme="minorHAnsi" w:hAnsiTheme="minorHAnsi" w:cstheme="minorBidi"/>
          <w:b/>
          <w:bCs/>
          <w:sz w:val="24"/>
          <w:szCs w:val="24"/>
        </w:rPr>
        <w:t xml:space="preserve">Campagne de publicité </w:t>
      </w:r>
      <w:r w:rsidR="514974F8" w:rsidRPr="6BEB91E7">
        <w:rPr>
          <w:rFonts w:asciiTheme="minorHAnsi" w:hAnsiTheme="minorHAnsi" w:cstheme="minorBidi"/>
          <w:b/>
          <w:bCs/>
          <w:sz w:val="24"/>
          <w:szCs w:val="24"/>
        </w:rPr>
        <w:t xml:space="preserve">digitale </w:t>
      </w:r>
      <w:r w:rsidRPr="6BEB91E7">
        <w:rPr>
          <w:rFonts w:asciiTheme="minorHAnsi" w:hAnsiTheme="minorHAnsi" w:cstheme="minorBidi"/>
          <w:b/>
          <w:bCs/>
          <w:sz w:val="24"/>
          <w:szCs w:val="24"/>
        </w:rPr>
        <w:t>massive</w:t>
      </w:r>
      <w:r w:rsidR="001437F6">
        <w:rPr>
          <w:rFonts w:asciiTheme="minorHAnsi" w:hAnsiTheme="minorHAnsi" w:cstheme="minorBidi"/>
          <w:b/>
          <w:bCs/>
          <w:sz w:val="24"/>
          <w:szCs w:val="24"/>
        </w:rPr>
        <w:t xml:space="preserve"> : </w:t>
      </w:r>
      <w:r w:rsidR="00246B5C">
        <w:rPr>
          <w:rFonts w:asciiTheme="minorHAnsi" w:hAnsiTheme="minorHAnsi" w:cstheme="minorBidi"/>
          <w:b/>
          <w:bCs/>
          <w:sz w:val="24"/>
          <w:szCs w:val="24"/>
        </w:rPr>
        <w:t xml:space="preserve">le Groupe a généré à nouveau </w:t>
      </w:r>
      <w:r w:rsidR="46124AA8" w:rsidRPr="6BEB91E7">
        <w:rPr>
          <w:rFonts w:asciiTheme="minorHAnsi" w:hAnsiTheme="minorHAnsi" w:cstheme="minorBidi"/>
          <w:b/>
          <w:bCs/>
          <w:sz w:val="24"/>
          <w:szCs w:val="24"/>
        </w:rPr>
        <w:t>plus d’un</w:t>
      </w:r>
      <w:r w:rsidR="49D95856" w:rsidRPr="6BEB91E7">
        <w:rPr>
          <w:rFonts w:asciiTheme="minorHAnsi" w:hAnsiTheme="minorHAnsi" w:cstheme="minorBidi"/>
          <w:b/>
          <w:bCs/>
          <w:sz w:val="24"/>
          <w:szCs w:val="24"/>
        </w:rPr>
        <w:t xml:space="preserve"> milliard</w:t>
      </w:r>
      <w:r w:rsidRPr="6BEB91E7">
        <w:rPr>
          <w:rFonts w:asciiTheme="minorHAnsi" w:hAnsiTheme="minorHAnsi" w:cstheme="minorBidi"/>
          <w:b/>
          <w:bCs/>
          <w:sz w:val="24"/>
          <w:szCs w:val="24"/>
        </w:rPr>
        <w:t xml:space="preserve"> d’impressions sur les </w:t>
      </w:r>
      <w:r w:rsidR="514974F8" w:rsidRPr="6BEB91E7">
        <w:rPr>
          <w:rFonts w:asciiTheme="minorHAnsi" w:hAnsiTheme="minorHAnsi" w:cstheme="minorBidi"/>
          <w:b/>
          <w:bCs/>
          <w:sz w:val="24"/>
          <w:szCs w:val="24"/>
        </w:rPr>
        <w:t>produits Lexibook</w:t>
      </w:r>
      <w:r w:rsidR="1E03FC02" w:rsidRPr="6BEB91E7">
        <w:rPr>
          <w:rFonts w:asciiTheme="minorHAnsi" w:hAnsiTheme="minorHAnsi" w:cstheme="minorBidi"/>
          <w:b/>
          <w:bCs/>
          <w:sz w:val="24"/>
          <w:szCs w:val="24"/>
        </w:rPr>
        <w:t xml:space="preserve"> sur un an</w:t>
      </w:r>
      <w:r w:rsidR="00246B5C">
        <w:rPr>
          <w:rFonts w:asciiTheme="minorHAnsi" w:hAnsiTheme="minorHAnsi" w:cstheme="minorBidi"/>
          <w:b/>
          <w:bCs/>
          <w:sz w:val="24"/>
          <w:szCs w:val="24"/>
        </w:rPr>
        <w:t xml:space="preserve"> tant en Europe qu’aux USA</w:t>
      </w:r>
      <w:r w:rsidR="422E47C0" w:rsidRPr="6BEB91E7">
        <w:rPr>
          <w:rFonts w:asciiTheme="minorHAnsi" w:hAnsiTheme="minorHAnsi" w:cstheme="minorBidi"/>
          <w:b/>
          <w:bCs/>
          <w:sz w:val="24"/>
          <w:szCs w:val="24"/>
        </w:rPr>
        <w:t xml:space="preserve">. </w:t>
      </w:r>
    </w:p>
    <w:p w14:paraId="01B26BBA" w14:textId="3A1507FE" w:rsidR="00926891" w:rsidRPr="00DB4A10" w:rsidRDefault="360B6B1D" w:rsidP="6BEB91E7">
      <w:pPr>
        <w:numPr>
          <w:ilvl w:val="0"/>
          <w:numId w:val="21"/>
        </w:numPr>
        <w:spacing w:after="80"/>
        <w:jc w:val="both"/>
        <w:outlineLvl w:val="0"/>
        <w:rPr>
          <w:rFonts w:asciiTheme="minorHAnsi" w:hAnsiTheme="minorHAnsi" w:cstheme="minorBidi"/>
          <w:b/>
          <w:bCs/>
          <w:sz w:val="24"/>
          <w:szCs w:val="24"/>
        </w:rPr>
      </w:pPr>
      <w:r w:rsidRPr="6BEB91E7">
        <w:rPr>
          <w:rFonts w:asciiTheme="minorHAnsi" w:hAnsiTheme="minorHAnsi" w:cstheme="minorBidi"/>
          <w:b/>
          <w:bCs/>
          <w:sz w:val="24"/>
          <w:szCs w:val="24"/>
        </w:rPr>
        <w:t>REX</w:t>
      </w:r>
      <w:r w:rsidR="08D473AF" w:rsidRPr="6BEB91E7">
        <w:rPr>
          <w:rFonts w:asciiTheme="minorHAnsi" w:hAnsiTheme="minorHAnsi" w:cstheme="minorBidi"/>
          <w:b/>
          <w:bCs/>
          <w:sz w:val="24"/>
          <w:szCs w:val="24"/>
        </w:rPr>
        <w:t xml:space="preserve"> : </w:t>
      </w:r>
      <w:r w:rsidR="5D74A962" w:rsidRPr="6BEB91E7">
        <w:rPr>
          <w:rFonts w:asciiTheme="minorHAnsi" w:hAnsiTheme="minorHAnsi" w:cstheme="minorBidi"/>
          <w:b/>
          <w:bCs/>
          <w:sz w:val="24"/>
          <w:szCs w:val="24"/>
        </w:rPr>
        <w:t>+</w:t>
      </w:r>
      <w:r w:rsidR="3A31336E" w:rsidRPr="6BEB91E7">
        <w:rPr>
          <w:rFonts w:asciiTheme="minorHAnsi" w:hAnsiTheme="minorHAnsi" w:cstheme="minorBidi"/>
          <w:b/>
          <w:bCs/>
          <w:sz w:val="24"/>
          <w:szCs w:val="24"/>
        </w:rPr>
        <w:t>2,1</w:t>
      </w:r>
      <w:r w:rsidR="76CB100A" w:rsidRPr="6BEB91E7">
        <w:rPr>
          <w:rFonts w:asciiTheme="minorHAnsi" w:hAnsiTheme="minorHAnsi" w:cstheme="minorBidi"/>
          <w:b/>
          <w:bCs/>
          <w:sz w:val="24"/>
          <w:szCs w:val="24"/>
        </w:rPr>
        <w:t xml:space="preserve"> </w:t>
      </w:r>
      <w:r w:rsidR="08D473AF" w:rsidRPr="6BEB91E7">
        <w:rPr>
          <w:rFonts w:asciiTheme="minorHAnsi" w:hAnsiTheme="minorHAnsi" w:cstheme="minorBidi"/>
          <w:b/>
          <w:bCs/>
          <w:sz w:val="24"/>
          <w:szCs w:val="24"/>
        </w:rPr>
        <w:t>M€,</w:t>
      </w:r>
      <w:r w:rsidRPr="6BEB91E7">
        <w:rPr>
          <w:rFonts w:asciiTheme="minorHAnsi" w:hAnsiTheme="minorHAnsi" w:cstheme="minorBidi"/>
          <w:b/>
          <w:bCs/>
          <w:sz w:val="24"/>
          <w:szCs w:val="24"/>
        </w:rPr>
        <w:t xml:space="preserve"> </w:t>
      </w:r>
      <w:r w:rsidR="5F538888" w:rsidRPr="6BEB91E7">
        <w:rPr>
          <w:rFonts w:asciiTheme="minorHAnsi" w:hAnsiTheme="minorHAnsi" w:cstheme="minorBidi"/>
          <w:b/>
          <w:bCs/>
          <w:sz w:val="24"/>
          <w:szCs w:val="24"/>
        </w:rPr>
        <w:t xml:space="preserve">en croissance de </w:t>
      </w:r>
      <w:r w:rsidR="39E6ED95" w:rsidRPr="6BEB91E7">
        <w:rPr>
          <w:rFonts w:asciiTheme="minorHAnsi" w:hAnsiTheme="minorHAnsi" w:cstheme="minorBidi"/>
          <w:b/>
          <w:bCs/>
          <w:sz w:val="24"/>
          <w:szCs w:val="24"/>
        </w:rPr>
        <w:t>36,1</w:t>
      </w:r>
      <w:r w:rsidR="5F538888" w:rsidRPr="6BEB91E7">
        <w:rPr>
          <w:rFonts w:asciiTheme="minorHAnsi" w:hAnsiTheme="minorHAnsi" w:cstheme="minorBidi"/>
          <w:b/>
          <w:bCs/>
          <w:sz w:val="24"/>
          <w:szCs w:val="24"/>
        </w:rPr>
        <w:t>%</w:t>
      </w:r>
      <w:r w:rsidR="3FBCD07D" w:rsidRPr="6BEB91E7">
        <w:rPr>
          <w:rFonts w:asciiTheme="minorHAnsi" w:hAnsiTheme="minorHAnsi" w:cstheme="minorBidi"/>
          <w:b/>
          <w:bCs/>
          <w:sz w:val="24"/>
          <w:szCs w:val="24"/>
        </w:rPr>
        <w:t>,</w:t>
      </w:r>
      <w:r w:rsidR="06FCBF50" w:rsidRPr="6BEB91E7">
        <w:rPr>
          <w:rFonts w:asciiTheme="minorHAnsi" w:hAnsiTheme="minorHAnsi" w:cstheme="minorBidi"/>
          <w:b/>
          <w:bCs/>
          <w:sz w:val="24"/>
          <w:szCs w:val="24"/>
        </w:rPr>
        <w:t xml:space="preserve"> grâce à la progression des volumes</w:t>
      </w:r>
      <w:r w:rsidR="26678CDC" w:rsidRPr="6BEB91E7">
        <w:rPr>
          <w:rFonts w:asciiTheme="minorHAnsi" w:hAnsiTheme="minorHAnsi" w:cstheme="minorBidi"/>
          <w:b/>
          <w:bCs/>
          <w:sz w:val="24"/>
          <w:szCs w:val="24"/>
        </w:rPr>
        <w:t xml:space="preserve"> et de la marge</w:t>
      </w:r>
      <w:r w:rsidR="06FCBF50" w:rsidRPr="6BEB91E7">
        <w:rPr>
          <w:rFonts w:asciiTheme="minorHAnsi" w:hAnsiTheme="minorHAnsi" w:cstheme="minorBidi"/>
          <w:b/>
          <w:bCs/>
          <w:sz w:val="24"/>
          <w:szCs w:val="24"/>
        </w:rPr>
        <w:t xml:space="preserve"> et </w:t>
      </w:r>
      <w:r w:rsidR="3FBCD07D" w:rsidRPr="6BEB91E7">
        <w:rPr>
          <w:rFonts w:asciiTheme="minorHAnsi" w:hAnsiTheme="minorHAnsi" w:cstheme="minorBidi"/>
          <w:b/>
          <w:bCs/>
          <w:sz w:val="24"/>
          <w:szCs w:val="24"/>
        </w:rPr>
        <w:t>malgré</w:t>
      </w:r>
      <w:r w:rsidR="72DD37DB" w:rsidRPr="6BEB91E7">
        <w:rPr>
          <w:rFonts w:asciiTheme="minorHAnsi" w:hAnsiTheme="minorHAnsi" w:cstheme="minorBidi"/>
          <w:b/>
          <w:bCs/>
          <w:sz w:val="24"/>
          <w:szCs w:val="24"/>
        </w:rPr>
        <w:t xml:space="preserve"> </w:t>
      </w:r>
      <w:r w:rsidR="1B7FB89F" w:rsidRPr="6BEB91E7">
        <w:rPr>
          <w:rFonts w:asciiTheme="minorHAnsi" w:hAnsiTheme="minorHAnsi" w:cstheme="minorBidi"/>
          <w:b/>
          <w:bCs/>
          <w:sz w:val="24"/>
          <w:szCs w:val="24"/>
        </w:rPr>
        <w:t>l’</w:t>
      </w:r>
      <w:r w:rsidR="72DD37DB" w:rsidRPr="6BEB91E7">
        <w:rPr>
          <w:rFonts w:asciiTheme="minorHAnsi" w:hAnsiTheme="minorHAnsi" w:cstheme="minorBidi"/>
          <w:b/>
          <w:bCs/>
          <w:sz w:val="24"/>
          <w:szCs w:val="24"/>
        </w:rPr>
        <w:t>investissement publicitaire</w:t>
      </w:r>
      <w:r w:rsidR="41EFC0F3" w:rsidRPr="6BEB91E7">
        <w:rPr>
          <w:rFonts w:asciiTheme="minorHAnsi" w:hAnsiTheme="minorHAnsi" w:cstheme="minorBidi"/>
          <w:b/>
          <w:bCs/>
          <w:sz w:val="24"/>
          <w:szCs w:val="24"/>
        </w:rPr>
        <w:t>.</w:t>
      </w:r>
    </w:p>
    <w:p w14:paraId="23EDD4BF" w14:textId="50D15D33" w:rsidR="00D54C4C" w:rsidRPr="00DB4A10" w:rsidRDefault="343F9031" w:rsidP="6BEB91E7">
      <w:pPr>
        <w:numPr>
          <w:ilvl w:val="0"/>
          <w:numId w:val="21"/>
        </w:numPr>
        <w:spacing w:after="80"/>
        <w:jc w:val="both"/>
        <w:outlineLvl w:val="0"/>
        <w:rPr>
          <w:rFonts w:asciiTheme="minorHAnsi" w:hAnsiTheme="minorHAnsi" w:cstheme="minorBidi"/>
          <w:b/>
          <w:bCs/>
          <w:sz w:val="24"/>
          <w:szCs w:val="24"/>
        </w:rPr>
      </w:pPr>
      <w:r w:rsidRPr="00D56B76">
        <w:rPr>
          <w:rFonts w:asciiTheme="minorHAnsi" w:hAnsiTheme="minorHAnsi" w:cstheme="minorBidi"/>
          <w:b/>
          <w:bCs/>
          <w:sz w:val="24"/>
          <w:szCs w:val="24"/>
        </w:rPr>
        <w:t xml:space="preserve">EBITDA : </w:t>
      </w:r>
      <w:r w:rsidR="330505E3" w:rsidRPr="00D56B76">
        <w:rPr>
          <w:rFonts w:asciiTheme="minorHAnsi" w:hAnsiTheme="minorHAnsi" w:cstheme="minorBidi"/>
          <w:b/>
          <w:bCs/>
          <w:sz w:val="24"/>
          <w:szCs w:val="24"/>
        </w:rPr>
        <w:t xml:space="preserve">9,7M€, soit </w:t>
      </w:r>
      <w:r w:rsidRPr="00D56B76">
        <w:rPr>
          <w:rFonts w:asciiTheme="minorHAnsi" w:hAnsiTheme="minorHAnsi" w:cstheme="minorBidi"/>
          <w:b/>
          <w:bCs/>
          <w:sz w:val="24"/>
          <w:szCs w:val="24"/>
        </w:rPr>
        <w:t>+</w:t>
      </w:r>
      <w:r w:rsidR="7D2DCBD2" w:rsidRPr="00D56B76">
        <w:rPr>
          <w:rFonts w:asciiTheme="minorHAnsi" w:hAnsiTheme="minorHAnsi" w:cstheme="minorBidi"/>
          <w:b/>
          <w:bCs/>
          <w:sz w:val="24"/>
          <w:szCs w:val="24"/>
        </w:rPr>
        <w:t>2,3</w:t>
      </w:r>
      <w:r w:rsidRPr="00D56B76">
        <w:rPr>
          <w:rFonts w:asciiTheme="minorHAnsi" w:hAnsiTheme="minorHAnsi" w:cstheme="minorBidi"/>
          <w:b/>
          <w:bCs/>
          <w:sz w:val="24"/>
          <w:szCs w:val="24"/>
        </w:rPr>
        <w:t xml:space="preserve"> M€</w:t>
      </w:r>
      <w:r w:rsidR="14B6BB66" w:rsidRPr="00D56B76">
        <w:rPr>
          <w:rFonts w:asciiTheme="minorHAnsi" w:hAnsiTheme="minorHAnsi" w:cstheme="minorBidi"/>
          <w:b/>
          <w:bCs/>
          <w:sz w:val="24"/>
          <w:szCs w:val="24"/>
        </w:rPr>
        <w:t xml:space="preserve">, vs N-1. </w:t>
      </w:r>
      <w:r w:rsidR="7835D430" w:rsidRPr="6BEB91E7">
        <w:rPr>
          <w:rFonts w:asciiTheme="minorHAnsi" w:hAnsiTheme="minorHAnsi" w:cstheme="minorBidi"/>
          <w:b/>
          <w:bCs/>
          <w:sz w:val="24"/>
          <w:szCs w:val="24"/>
        </w:rPr>
        <w:t xml:space="preserve">En croissance de </w:t>
      </w:r>
      <w:r w:rsidR="3C2FEC9F" w:rsidRPr="6BEB91E7">
        <w:rPr>
          <w:rFonts w:asciiTheme="minorHAnsi" w:hAnsiTheme="minorHAnsi" w:cstheme="minorBidi"/>
          <w:b/>
          <w:bCs/>
          <w:sz w:val="24"/>
          <w:szCs w:val="24"/>
        </w:rPr>
        <w:t>30,3</w:t>
      </w:r>
      <w:r w:rsidR="7835D430" w:rsidRPr="6BEB91E7">
        <w:rPr>
          <w:rFonts w:asciiTheme="minorHAnsi" w:hAnsiTheme="minorHAnsi" w:cstheme="minorBidi"/>
          <w:b/>
          <w:bCs/>
          <w:sz w:val="24"/>
          <w:szCs w:val="24"/>
        </w:rPr>
        <w:t>%.</w:t>
      </w:r>
    </w:p>
    <w:p w14:paraId="6EF9CA5A" w14:textId="7B4E52B6" w:rsidR="00BA339B" w:rsidRPr="00DB4A10" w:rsidRDefault="10A37174" w:rsidP="6BEB91E7">
      <w:pPr>
        <w:numPr>
          <w:ilvl w:val="0"/>
          <w:numId w:val="21"/>
        </w:numPr>
        <w:spacing w:after="80"/>
        <w:jc w:val="both"/>
        <w:outlineLvl w:val="0"/>
        <w:rPr>
          <w:rFonts w:asciiTheme="minorHAnsi" w:hAnsiTheme="minorHAnsi" w:cstheme="minorBidi"/>
          <w:b/>
          <w:bCs/>
          <w:sz w:val="24"/>
          <w:szCs w:val="24"/>
        </w:rPr>
      </w:pPr>
      <w:r w:rsidRPr="6BEB91E7">
        <w:rPr>
          <w:rFonts w:asciiTheme="minorHAnsi" w:hAnsiTheme="minorHAnsi" w:cstheme="minorBidi"/>
          <w:b/>
          <w:bCs/>
          <w:sz w:val="24"/>
          <w:szCs w:val="24"/>
        </w:rPr>
        <w:t>Résultat</w:t>
      </w:r>
      <w:r w:rsidR="25ABF7D5" w:rsidRPr="6BEB91E7">
        <w:rPr>
          <w:rFonts w:asciiTheme="minorHAnsi" w:hAnsiTheme="minorHAnsi" w:cstheme="minorBidi"/>
          <w:b/>
          <w:bCs/>
          <w:sz w:val="24"/>
          <w:szCs w:val="24"/>
        </w:rPr>
        <w:t xml:space="preserve"> financier, </w:t>
      </w:r>
      <w:r w:rsidR="004757C0">
        <w:rPr>
          <w:rFonts w:asciiTheme="minorHAnsi" w:hAnsiTheme="minorHAnsi" w:cstheme="minorBidi"/>
          <w:b/>
          <w:bCs/>
          <w:sz w:val="24"/>
          <w:szCs w:val="24"/>
        </w:rPr>
        <w:t>+</w:t>
      </w:r>
      <w:r w:rsidR="4C0A8A1F" w:rsidRPr="6BEB91E7">
        <w:rPr>
          <w:rFonts w:asciiTheme="minorHAnsi" w:hAnsiTheme="minorHAnsi" w:cstheme="minorBidi"/>
          <w:b/>
          <w:bCs/>
          <w:sz w:val="24"/>
          <w:szCs w:val="24"/>
        </w:rPr>
        <w:t>0,2</w:t>
      </w:r>
      <w:r w:rsidR="720C7C8A" w:rsidRPr="6BEB91E7">
        <w:rPr>
          <w:rFonts w:asciiTheme="minorHAnsi" w:hAnsiTheme="minorHAnsi" w:cstheme="minorBidi"/>
          <w:b/>
          <w:bCs/>
          <w:sz w:val="24"/>
          <w:szCs w:val="24"/>
        </w:rPr>
        <w:t>M</w:t>
      </w:r>
      <w:r w:rsidR="7F36D755" w:rsidRPr="6BEB91E7">
        <w:rPr>
          <w:rFonts w:asciiTheme="minorHAnsi" w:hAnsiTheme="minorHAnsi" w:cstheme="minorBidi"/>
          <w:b/>
          <w:bCs/>
          <w:sz w:val="24"/>
          <w:szCs w:val="24"/>
        </w:rPr>
        <w:t xml:space="preserve">€ </w:t>
      </w:r>
      <w:r w:rsidR="7D25A62C" w:rsidRPr="6BEB91E7">
        <w:rPr>
          <w:rFonts w:asciiTheme="minorHAnsi" w:hAnsiTheme="minorHAnsi" w:cstheme="minorBidi"/>
          <w:b/>
          <w:bCs/>
          <w:sz w:val="24"/>
          <w:szCs w:val="24"/>
        </w:rPr>
        <w:t>vs -</w:t>
      </w:r>
      <w:r w:rsidR="720C7C8A" w:rsidRPr="6BEB91E7">
        <w:rPr>
          <w:rFonts w:asciiTheme="minorHAnsi" w:hAnsiTheme="minorHAnsi" w:cstheme="minorBidi"/>
          <w:b/>
          <w:bCs/>
          <w:sz w:val="24"/>
          <w:szCs w:val="24"/>
        </w:rPr>
        <w:t>0,</w:t>
      </w:r>
      <w:r w:rsidR="3269B1ED" w:rsidRPr="6BEB91E7">
        <w:rPr>
          <w:rFonts w:asciiTheme="minorHAnsi" w:hAnsiTheme="minorHAnsi" w:cstheme="minorBidi"/>
          <w:b/>
          <w:bCs/>
          <w:sz w:val="24"/>
          <w:szCs w:val="24"/>
        </w:rPr>
        <w:t>2</w:t>
      </w:r>
      <w:r w:rsidR="7D25A62C" w:rsidRPr="6BEB91E7">
        <w:rPr>
          <w:rFonts w:asciiTheme="minorHAnsi" w:hAnsiTheme="minorHAnsi" w:cstheme="minorBidi"/>
          <w:b/>
          <w:bCs/>
          <w:sz w:val="24"/>
          <w:szCs w:val="24"/>
        </w:rPr>
        <w:t xml:space="preserve"> </w:t>
      </w:r>
      <w:r w:rsidR="720C7C8A" w:rsidRPr="6BEB91E7">
        <w:rPr>
          <w:rFonts w:asciiTheme="minorHAnsi" w:hAnsiTheme="minorHAnsi" w:cstheme="minorBidi"/>
          <w:b/>
          <w:bCs/>
          <w:sz w:val="24"/>
          <w:szCs w:val="24"/>
        </w:rPr>
        <w:t>M</w:t>
      </w:r>
      <w:r w:rsidR="7D25A62C" w:rsidRPr="6BEB91E7">
        <w:rPr>
          <w:rFonts w:asciiTheme="minorHAnsi" w:hAnsiTheme="minorHAnsi" w:cstheme="minorBidi"/>
          <w:b/>
          <w:bCs/>
          <w:sz w:val="24"/>
          <w:szCs w:val="24"/>
        </w:rPr>
        <w:t>€</w:t>
      </w:r>
      <w:r w:rsidR="6DA757A4" w:rsidRPr="6BEB91E7">
        <w:rPr>
          <w:rFonts w:asciiTheme="minorHAnsi" w:hAnsiTheme="minorHAnsi" w:cstheme="minorBidi"/>
          <w:b/>
          <w:bCs/>
          <w:sz w:val="24"/>
          <w:szCs w:val="24"/>
        </w:rPr>
        <w:t xml:space="preserve">, </w:t>
      </w:r>
      <w:r w:rsidR="613BB520" w:rsidRPr="6BEB91E7">
        <w:rPr>
          <w:rFonts w:asciiTheme="minorHAnsi" w:hAnsiTheme="minorHAnsi" w:cstheme="minorBidi"/>
          <w:b/>
          <w:bCs/>
          <w:sz w:val="24"/>
          <w:szCs w:val="24"/>
        </w:rPr>
        <w:t xml:space="preserve">grâce </w:t>
      </w:r>
      <w:r w:rsidR="49BCF701" w:rsidRPr="6BEB91E7">
        <w:rPr>
          <w:rFonts w:asciiTheme="minorHAnsi" w:hAnsiTheme="minorHAnsi" w:cstheme="minorBidi"/>
          <w:b/>
          <w:bCs/>
          <w:sz w:val="24"/>
          <w:szCs w:val="24"/>
        </w:rPr>
        <w:t>aux couvertures de change mises en place.</w:t>
      </w:r>
    </w:p>
    <w:p w14:paraId="7432EDF3" w14:textId="30D99D2A" w:rsidR="0047211A" w:rsidRPr="00DB4A10" w:rsidRDefault="360B6B1D" w:rsidP="6BEB91E7">
      <w:pPr>
        <w:numPr>
          <w:ilvl w:val="0"/>
          <w:numId w:val="21"/>
        </w:numPr>
        <w:spacing w:after="80"/>
        <w:jc w:val="both"/>
        <w:outlineLvl w:val="0"/>
        <w:rPr>
          <w:rFonts w:asciiTheme="minorHAnsi" w:hAnsiTheme="minorHAnsi" w:cstheme="minorBidi"/>
          <w:b/>
          <w:bCs/>
          <w:sz w:val="24"/>
          <w:szCs w:val="24"/>
        </w:rPr>
      </w:pPr>
      <w:r w:rsidRPr="6BEB91E7">
        <w:rPr>
          <w:rFonts w:asciiTheme="minorHAnsi" w:hAnsiTheme="minorHAnsi" w:cstheme="minorBidi"/>
          <w:b/>
          <w:bCs/>
          <w:sz w:val="24"/>
          <w:szCs w:val="24"/>
        </w:rPr>
        <w:t>RN</w:t>
      </w:r>
      <w:r w:rsidR="08D473AF" w:rsidRPr="6BEB91E7">
        <w:rPr>
          <w:rFonts w:asciiTheme="minorHAnsi" w:hAnsiTheme="minorHAnsi" w:cstheme="minorBidi"/>
          <w:b/>
          <w:bCs/>
          <w:sz w:val="24"/>
          <w:szCs w:val="24"/>
        </w:rPr>
        <w:t xml:space="preserve"> : </w:t>
      </w:r>
      <w:r w:rsidRPr="6BEB91E7">
        <w:rPr>
          <w:rFonts w:asciiTheme="minorHAnsi" w:hAnsiTheme="minorHAnsi" w:cstheme="minorBidi"/>
          <w:b/>
          <w:bCs/>
          <w:sz w:val="24"/>
          <w:szCs w:val="24"/>
        </w:rPr>
        <w:t xml:space="preserve"> </w:t>
      </w:r>
      <w:r w:rsidR="27705696" w:rsidRPr="6BEB91E7">
        <w:rPr>
          <w:rFonts w:asciiTheme="minorHAnsi" w:hAnsiTheme="minorHAnsi" w:cstheme="minorBidi"/>
          <w:b/>
          <w:bCs/>
          <w:sz w:val="24"/>
          <w:szCs w:val="24"/>
        </w:rPr>
        <w:t>7,4</w:t>
      </w:r>
      <w:r w:rsidR="08D473AF" w:rsidRPr="6BEB91E7">
        <w:rPr>
          <w:rFonts w:asciiTheme="minorHAnsi" w:hAnsiTheme="minorHAnsi" w:cstheme="minorBidi"/>
          <w:b/>
          <w:bCs/>
          <w:sz w:val="24"/>
          <w:szCs w:val="24"/>
        </w:rPr>
        <w:t xml:space="preserve">M€, </w:t>
      </w:r>
      <w:r w:rsidR="0F04CAC6" w:rsidRPr="6BEB91E7">
        <w:rPr>
          <w:rFonts w:asciiTheme="minorHAnsi" w:hAnsiTheme="minorHAnsi" w:cstheme="minorBidi"/>
          <w:b/>
          <w:bCs/>
          <w:sz w:val="24"/>
          <w:szCs w:val="24"/>
        </w:rPr>
        <w:t>vs</w:t>
      </w:r>
      <w:r w:rsidR="08D473AF" w:rsidRPr="6BEB91E7">
        <w:rPr>
          <w:rFonts w:asciiTheme="minorHAnsi" w:hAnsiTheme="minorHAnsi" w:cstheme="minorBidi"/>
          <w:b/>
          <w:bCs/>
          <w:sz w:val="24"/>
          <w:szCs w:val="24"/>
        </w:rPr>
        <w:t xml:space="preserve"> </w:t>
      </w:r>
      <w:r w:rsidR="7169BD78" w:rsidRPr="6BEB91E7">
        <w:rPr>
          <w:rFonts w:asciiTheme="minorHAnsi" w:hAnsiTheme="minorHAnsi" w:cstheme="minorBidi"/>
          <w:b/>
          <w:bCs/>
          <w:sz w:val="24"/>
          <w:szCs w:val="24"/>
        </w:rPr>
        <w:t>5</w:t>
      </w:r>
      <w:r w:rsidR="692D6B85" w:rsidRPr="6BEB91E7">
        <w:rPr>
          <w:rFonts w:asciiTheme="minorHAnsi" w:hAnsiTheme="minorHAnsi" w:cstheme="minorBidi"/>
          <w:b/>
          <w:bCs/>
          <w:sz w:val="24"/>
          <w:szCs w:val="24"/>
        </w:rPr>
        <w:t>,</w:t>
      </w:r>
      <w:r w:rsidR="42216B82" w:rsidRPr="6BEB91E7">
        <w:rPr>
          <w:rFonts w:asciiTheme="minorHAnsi" w:hAnsiTheme="minorHAnsi" w:cstheme="minorBidi"/>
          <w:b/>
          <w:bCs/>
          <w:sz w:val="24"/>
          <w:szCs w:val="24"/>
        </w:rPr>
        <w:t>0</w:t>
      </w:r>
      <w:r w:rsidR="15944AE6" w:rsidRPr="6BEB91E7">
        <w:rPr>
          <w:rFonts w:asciiTheme="minorHAnsi" w:hAnsiTheme="minorHAnsi" w:cstheme="minorBidi"/>
          <w:b/>
          <w:bCs/>
          <w:sz w:val="24"/>
          <w:szCs w:val="24"/>
        </w:rPr>
        <w:t xml:space="preserve"> </w:t>
      </w:r>
      <w:r w:rsidR="08D473AF" w:rsidRPr="6BEB91E7">
        <w:rPr>
          <w:rFonts w:asciiTheme="minorHAnsi" w:hAnsiTheme="minorHAnsi" w:cstheme="minorBidi"/>
          <w:b/>
          <w:bCs/>
          <w:sz w:val="24"/>
          <w:szCs w:val="24"/>
        </w:rPr>
        <w:t>M€</w:t>
      </w:r>
      <w:r w:rsidR="0F04CAC6" w:rsidRPr="6BEB91E7">
        <w:rPr>
          <w:rFonts w:asciiTheme="minorHAnsi" w:hAnsiTheme="minorHAnsi" w:cstheme="minorBidi"/>
          <w:b/>
          <w:bCs/>
          <w:sz w:val="24"/>
          <w:szCs w:val="24"/>
        </w:rPr>
        <w:t xml:space="preserve"> sur FY2</w:t>
      </w:r>
      <w:r w:rsidR="4442815D" w:rsidRPr="6BEB91E7">
        <w:rPr>
          <w:rFonts w:asciiTheme="minorHAnsi" w:hAnsiTheme="minorHAnsi" w:cstheme="minorBidi"/>
          <w:b/>
          <w:bCs/>
          <w:sz w:val="24"/>
          <w:szCs w:val="24"/>
        </w:rPr>
        <w:t>3</w:t>
      </w:r>
      <w:r w:rsidR="78740E9C" w:rsidRPr="6BEB91E7">
        <w:rPr>
          <w:rFonts w:asciiTheme="minorHAnsi" w:hAnsiTheme="minorHAnsi" w:cstheme="minorBidi"/>
          <w:b/>
          <w:bCs/>
          <w:sz w:val="24"/>
          <w:szCs w:val="24"/>
        </w:rPr>
        <w:t>-2</w:t>
      </w:r>
      <w:r w:rsidR="7DA0CACF" w:rsidRPr="6BEB91E7">
        <w:rPr>
          <w:rFonts w:asciiTheme="minorHAnsi" w:hAnsiTheme="minorHAnsi" w:cstheme="minorBidi"/>
          <w:b/>
          <w:bCs/>
          <w:sz w:val="24"/>
          <w:szCs w:val="24"/>
        </w:rPr>
        <w:t>4</w:t>
      </w:r>
      <w:r w:rsidR="5596A198" w:rsidRPr="6BEB91E7">
        <w:rPr>
          <w:rFonts w:asciiTheme="minorHAnsi" w:hAnsiTheme="minorHAnsi" w:cstheme="minorBidi"/>
          <w:b/>
          <w:bCs/>
          <w:sz w:val="24"/>
          <w:szCs w:val="24"/>
        </w:rPr>
        <w:t>.</w:t>
      </w:r>
    </w:p>
    <w:p w14:paraId="7C351D94" w14:textId="261F4267" w:rsidR="00D213A7" w:rsidRPr="00DB4A10" w:rsidRDefault="77CF6BB2" w:rsidP="6BEB91E7">
      <w:pPr>
        <w:numPr>
          <w:ilvl w:val="0"/>
          <w:numId w:val="21"/>
        </w:numPr>
        <w:spacing w:after="80"/>
        <w:jc w:val="both"/>
        <w:outlineLvl w:val="0"/>
        <w:rPr>
          <w:rFonts w:asciiTheme="minorHAnsi" w:hAnsiTheme="minorHAnsi" w:cstheme="minorBidi"/>
          <w:b/>
          <w:bCs/>
          <w:sz w:val="24"/>
          <w:szCs w:val="24"/>
        </w:rPr>
      </w:pPr>
      <w:r w:rsidRPr="6BEB91E7">
        <w:rPr>
          <w:rFonts w:asciiTheme="minorHAnsi" w:hAnsiTheme="minorHAnsi" w:cstheme="minorBidi"/>
          <w:b/>
          <w:bCs/>
          <w:sz w:val="24"/>
          <w:szCs w:val="24"/>
        </w:rPr>
        <w:t xml:space="preserve">Le Groupe </w:t>
      </w:r>
      <w:r w:rsidR="533B9279" w:rsidRPr="6BEB91E7">
        <w:rPr>
          <w:rFonts w:asciiTheme="minorHAnsi" w:hAnsiTheme="minorHAnsi" w:cstheme="minorBidi"/>
          <w:b/>
          <w:bCs/>
          <w:sz w:val="24"/>
          <w:szCs w:val="24"/>
        </w:rPr>
        <w:t>a renforcé sa</w:t>
      </w:r>
      <w:r w:rsidRPr="6BEB91E7">
        <w:rPr>
          <w:rFonts w:asciiTheme="minorHAnsi" w:hAnsiTheme="minorHAnsi" w:cstheme="minorBidi"/>
          <w:b/>
          <w:bCs/>
          <w:sz w:val="24"/>
          <w:szCs w:val="24"/>
        </w:rPr>
        <w:t xml:space="preserve"> position de trésorerie nette</w:t>
      </w:r>
      <w:r w:rsidR="10F6335F" w:rsidRPr="6BEB91E7">
        <w:rPr>
          <w:rFonts w:asciiTheme="minorHAnsi" w:hAnsiTheme="minorHAnsi" w:cstheme="minorBidi"/>
          <w:b/>
          <w:bCs/>
          <w:sz w:val="24"/>
          <w:szCs w:val="24"/>
        </w:rPr>
        <w:t>, qui s’élève à</w:t>
      </w:r>
      <w:r w:rsidRPr="6BEB91E7">
        <w:rPr>
          <w:rFonts w:asciiTheme="minorHAnsi" w:hAnsiTheme="minorHAnsi" w:cstheme="minorBidi"/>
          <w:b/>
          <w:bCs/>
          <w:sz w:val="24"/>
          <w:szCs w:val="24"/>
        </w:rPr>
        <w:t xml:space="preserve"> </w:t>
      </w:r>
      <w:r w:rsidR="43F42932" w:rsidRPr="6BEB91E7">
        <w:rPr>
          <w:rFonts w:asciiTheme="minorHAnsi" w:hAnsiTheme="minorHAnsi" w:cstheme="minorBidi"/>
          <w:b/>
          <w:bCs/>
          <w:sz w:val="24"/>
          <w:szCs w:val="24"/>
        </w:rPr>
        <w:t>7,1</w:t>
      </w:r>
      <w:r w:rsidRPr="6BEB91E7">
        <w:rPr>
          <w:rFonts w:asciiTheme="minorHAnsi" w:hAnsiTheme="minorHAnsi" w:cstheme="minorBidi"/>
          <w:b/>
          <w:bCs/>
          <w:sz w:val="24"/>
          <w:szCs w:val="24"/>
        </w:rPr>
        <w:t xml:space="preserve"> M€ à la clôture, contre </w:t>
      </w:r>
      <w:r w:rsidR="0E2D42D8" w:rsidRPr="6BEB91E7">
        <w:rPr>
          <w:rFonts w:asciiTheme="minorHAnsi" w:hAnsiTheme="minorHAnsi" w:cstheme="minorBidi"/>
          <w:b/>
          <w:bCs/>
          <w:sz w:val="24"/>
          <w:szCs w:val="24"/>
        </w:rPr>
        <w:t>2,0</w:t>
      </w:r>
      <w:r w:rsidRPr="6BEB91E7">
        <w:rPr>
          <w:rFonts w:asciiTheme="minorHAnsi" w:hAnsiTheme="minorHAnsi" w:cstheme="minorBidi"/>
          <w:b/>
          <w:bCs/>
          <w:sz w:val="24"/>
          <w:szCs w:val="24"/>
        </w:rPr>
        <w:t xml:space="preserve"> M€ l’année précédente. Cette variation résulte principalement du remboursement des dettes </w:t>
      </w:r>
      <w:r w:rsidR="493FBDB2" w:rsidRPr="6BEB91E7">
        <w:rPr>
          <w:rFonts w:asciiTheme="minorHAnsi" w:hAnsiTheme="minorHAnsi" w:cstheme="minorBidi"/>
          <w:b/>
          <w:bCs/>
          <w:sz w:val="24"/>
          <w:szCs w:val="24"/>
        </w:rPr>
        <w:t>non courantes</w:t>
      </w:r>
      <w:r w:rsidRPr="6BEB91E7">
        <w:rPr>
          <w:rFonts w:asciiTheme="minorHAnsi" w:hAnsiTheme="minorHAnsi" w:cstheme="minorBidi"/>
          <w:b/>
          <w:bCs/>
          <w:sz w:val="24"/>
          <w:szCs w:val="24"/>
        </w:rPr>
        <w:t xml:space="preserve"> (-</w:t>
      </w:r>
      <w:r w:rsidR="15C9458B" w:rsidRPr="6BEB91E7">
        <w:rPr>
          <w:rFonts w:asciiTheme="minorHAnsi" w:hAnsiTheme="minorHAnsi" w:cstheme="minorBidi"/>
          <w:b/>
          <w:bCs/>
          <w:sz w:val="24"/>
          <w:szCs w:val="24"/>
        </w:rPr>
        <w:t>1,2M</w:t>
      </w:r>
      <w:r w:rsidRPr="6BEB91E7">
        <w:rPr>
          <w:rFonts w:asciiTheme="minorHAnsi" w:hAnsiTheme="minorHAnsi" w:cstheme="minorBidi"/>
          <w:b/>
          <w:bCs/>
          <w:sz w:val="24"/>
          <w:szCs w:val="24"/>
        </w:rPr>
        <w:t>€)</w:t>
      </w:r>
      <w:r w:rsidR="5C854983" w:rsidRPr="6BEB91E7">
        <w:rPr>
          <w:rFonts w:asciiTheme="minorHAnsi" w:hAnsiTheme="minorHAnsi" w:cstheme="minorBidi"/>
          <w:b/>
          <w:bCs/>
          <w:sz w:val="24"/>
          <w:szCs w:val="24"/>
        </w:rPr>
        <w:t xml:space="preserve"> </w:t>
      </w:r>
      <w:r w:rsidRPr="6BEB91E7">
        <w:rPr>
          <w:rFonts w:asciiTheme="minorHAnsi" w:hAnsiTheme="minorHAnsi" w:cstheme="minorBidi"/>
          <w:b/>
          <w:bCs/>
          <w:sz w:val="24"/>
          <w:szCs w:val="24"/>
        </w:rPr>
        <w:t>et de la variation nette de trésorerie (+</w:t>
      </w:r>
      <w:r w:rsidR="5BF23743" w:rsidRPr="6BEB91E7">
        <w:rPr>
          <w:rFonts w:asciiTheme="minorHAnsi" w:hAnsiTheme="minorHAnsi" w:cstheme="minorBidi"/>
          <w:b/>
          <w:bCs/>
          <w:sz w:val="24"/>
          <w:szCs w:val="24"/>
        </w:rPr>
        <w:t>4,0M</w:t>
      </w:r>
      <w:r w:rsidRPr="6BEB91E7">
        <w:rPr>
          <w:rFonts w:asciiTheme="minorHAnsi" w:hAnsiTheme="minorHAnsi" w:cstheme="minorBidi"/>
          <w:b/>
          <w:bCs/>
          <w:sz w:val="24"/>
          <w:szCs w:val="24"/>
        </w:rPr>
        <w:t>€).</w:t>
      </w:r>
    </w:p>
    <w:p w14:paraId="3D260254" w14:textId="1992C450" w:rsidR="00076A4A" w:rsidRPr="00DB4A10" w:rsidRDefault="4007239B" w:rsidP="6BEB91E7">
      <w:pPr>
        <w:numPr>
          <w:ilvl w:val="0"/>
          <w:numId w:val="21"/>
        </w:numPr>
        <w:spacing w:after="80"/>
        <w:jc w:val="both"/>
        <w:outlineLvl w:val="0"/>
        <w:rPr>
          <w:rFonts w:asciiTheme="minorHAnsi" w:hAnsiTheme="minorHAnsi" w:cstheme="minorBidi"/>
          <w:b/>
          <w:bCs/>
          <w:sz w:val="24"/>
          <w:szCs w:val="24"/>
          <w:lang w:val="fr"/>
        </w:rPr>
      </w:pPr>
      <w:r w:rsidRPr="6BEB91E7">
        <w:rPr>
          <w:rFonts w:asciiTheme="minorHAnsi" w:hAnsiTheme="minorHAnsi" w:cstheme="minorBidi"/>
          <w:b/>
          <w:bCs/>
          <w:sz w:val="24"/>
          <w:szCs w:val="24"/>
          <w:lang w:val="fr"/>
        </w:rPr>
        <w:t>Les fonds propres incluant le résultat de l’exercice 202</w:t>
      </w:r>
      <w:r w:rsidR="1BEBB865" w:rsidRPr="6BEB91E7">
        <w:rPr>
          <w:rFonts w:asciiTheme="minorHAnsi" w:hAnsiTheme="minorHAnsi" w:cstheme="minorBidi"/>
          <w:b/>
          <w:bCs/>
          <w:sz w:val="24"/>
          <w:szCs w:val="24"/>
          <w:lang w:val="fr"/>
        </w:rPr>
        <w:t>4</w:t>
      </w:r>
      <w:r w:rsidRPr="6BEB91E7">
        <w:rPr>
          <w:rFonts w:asciiTheme="minorHAnsi" w:hAnsiTheme="minorHAnsi" w:cstheme="minorBidi"/>
          <w:b/>
          <w:bCs/>
          <w:sz w:val="24"/>
          <w:szCs w:val="24"/>
          <w:lang w:val="fr"/>
        </w:rPr>
        <w:t>-202</w:t>
      </w:r>
      <w:r w:rsidR="02D88EC0" w:rsidRPr="6BEB91E7">
        <w:rPr>
          <w:rFonts w:asciiTheme="minorHAnsi" w:hAnsiTheme="minorHAnsi" w:cstheme="minorBidi"/>
          <w:b/>
          <w:bCs/>
          <w:sz w:val="24"/>
          <w:szCs w:val="24"/>
          <w:lang w:val="fr"/>
        </w:rPr>
        <w:t>5</w:t>
      </w:r>
      <w:r w:rsidRPr="6BEB91E7">
        <w:rPr>
          <w:rFonts w:asciiTheme="minorHAnsi" w:hAnsiTheme="minorHAnsi" w:cstheme="minorBidi"/>
          <w:b/>
          <w:bCs/>
          <w:sz w:val="24"/>
          <w:szCs w:val="24"/>
          <w:lang w:val="fr"/>
        </w:rPr>
        <w:t xml:space="preserve"> s’établissent à </w:t>
      </w:r>
      <w:r w:rsidR="6469CBF9" w:rsidRPr="6BEB91E7">
        <w:rPr>
          <w:rFonts w:asciiTheme="minorHAnsi" w:hAnsiTheme="minorHAnsi" w:cstheme="minorBidi"/>
          <w:b/>
          <w:bCs/>
          <w:sz w:val="24"/>
          <w:szCs w:val="24"/>
          <w:lang w:val="fr"/>
        </w:rPr>
        <w:t>24,4</w:t>
      </w:r>
      <w:r w:rsidRPr="6BEB91E7">
        <w:rPr>
          <w:rFonts w:asciiTheme="minorHAnsi" w:hAnsiTheme="minorHAnsi" w:cstheme="minorBidi"/>
          <w:b/>
          <w:bCs/>
          <w:sz w:val="24"/>
          <w:szCs w:val="24"/>
          <w:lang w:val="fr"/>
        </w:rPr>
        <w:t>M€, un niveau historiquement haut pour le Groupe.</w:t>
      </w:r>
      <w:bookmarkStart w:id="1" w:name="_Hlk106127935"/>
    </w:p>
    <w:p w14:paraId="7C6A6811" w14:textId="71B91EEF" w:rsidR="000B345C" w:rsidRDefault="605CD39A" w:rsidP="1995680B">
      <w:pPr>
        <w:numPr>
          <w:ilvl w:val="0"/>
          <w:numId w:val="21"/>
        </w:numPr>
        <w:spacing w:after="80"/>
        <w:jc w:val="both"/>
        <w:outlineLvl w:val="0"/>
        <w:rPr>
          <w:rFonts w:asciiTheme="minorHAnsi" w:hAnsiTheme="minorHAnsi" w:cstheme="minorBidi"/>
          <w:b/>
          <w:bCs/>
          <w:sz w:val="24"/>
          <w:szCs w:val="24"/>
        </w:rPr>
      </w:pPr>
      <w:r w:rsidRPr="1995680B">
        <w:rPr>
          <w:rFonts w:asciiTheme="minorHAnsi" w:hAnsiTheme="minorHAnsi" w:cstheme="minorBidi"/>
          <w:b/>
          <w:bCs/>
          <w:sz w:val="24"/>
          <w:szCs w:val="24"/>
        </w:rPr>
        <w:t>Exercice 202</w:t>
      </w:r>
      <w:r w:rsidR="4AEB7692" w:rsidRPr="1995680B">
        <w:rPr>
          <w:rFonts w:asciiTheme="minorHAnsi" w:hAnsiTheme="minorHAnsi" w:cstheme="minorBidi"/>
          <w:b/>
          <w:bCs/>
          <w:sz w:val="24"/>
          <w:szCs w:val="24"/>
        </w:rPr>
        <w:t>5</w:t>
      </w:r>
      <w:r w:rsidRPr="1995680B">
        <w:rPr>
          <w:rFonts w:asciiTheme="minorHAnsi" w:hAnsiTheme="minorHAnsi" w:cstheme="minorBidi"/>
          <w:b/>
          <w:bCs/>
          <w:sz w:val="24"/>
          <w:szCs w:val="24"/>
        </w:rPr>
        <w:t>-2</w:t>
      </w:r>
      <w:r w:rsidR="13C1B169" w:rsidRPr="1995680B">
        <w:rPr>
          <w:rFonts w:asciiTheme="minorHAnsi" w:hAnsiTheme="minorHAnsi" w:cstheme="minorBidi"/>
          <w:b/>
          <w:bCs/>
          <w:sz w:val="24"/>
          <w:szCs w:val="24"/>
        </w:rPr>
        <w:t>6</w:t>
      </w:r>
      <w:r w:rsidRPr="1995680B">
        <w:rPr>
          <w:rFonts w:asciiTheme="minorHAnsi" w:hAnsiTheme="minorHAnsi" w:cstheme="minorBidi"/>
          <w:b/>
          <w:bCs/>
          <w:sz w:val="24"/>
          <w:szCs w:val="24"/>
        </w:rPr>
        <w:t xml:space="preserve"> </w:t>
      </w:r>
      <w:bookmarkEnd w:id="1"/>
      <w:r w:rsidR="002632B1" w:rsidRPr="1995680B">
        <w:rPr>
          <w:rFonts w:asciiTheme="minorHAnsi" w:hAnsiTheme="minorHAnsi" w:cstheme="minorBidi"/>
          <w:b/>
          <w:bCs/>
          <w:sz w:val="24"/>
          <w:szCs w:val="24"/>
        </w:rPr>
        <w:t xml:space="preserve">incertain </w:t>
      </w:r>
      <w:r w:rsidR="006C6332" w:rsidRPr="1995680B">
        <w:rPr>
          <w:rFonts w:asciiTheme="minorHAnsi" w:hAnsiTheme="minorHAnsi" w:cstheme="minorBidi"/>
          <w:b/>
          <w:bCs/>
          <w:sz w:val="24"/>
          <w:szCs w:val="24"/>
        </w:rPr>
        <w:t>sur la</w:t>
      </w:r>
      <w:r w:rsidR="43EF9EC8" w:rsidRPr="1995680B">
        <w:rPr>
          <w:rFonts w:asciiTheme="minorHAnsi" w:hAnsiTheme="minorHAnsi" w:cstheme="minorBidi"/>
          <w:b/>
          <w:bCs/>
          <w:sz w:val="24"/>
          <w:szCs w:val="24"/>
        </w:rPr>
        <w:t xml:space="preserve"> croissance </w:t>
      </w:r>
      <w:r w:rsidR="471A039E" w:rsidRPr="1995680B">
        <w:rPr>
          <w:rFonts w:asciiTheme="minorHAnsi" w:hAnsiTheme="minorHAnsi" w:cstheme="minorBidi"/>
          <w:b/>
          <w:bCs/>
          <w:sz w:val="24"/>
          <w:szCs w:val="24"/>
        </w:rPr>
        <w:t>sur l’activité</w:t>
      </w:r>
      <w:r w:rsidR="5099750C" w:rsidRPr="1995680B">
        <w:rPr>
          <w:rFonts w:asciiTheme="minorHAnsi" w:hAnsiTheme="minorHAnsi" w:cstheme="minorBidi"/>
          <w:b/>
          <w:bCs/>
          <w:sz w:val="24"/>
          <w:szCs w:val="24"/>
        </w:rPr>
        <w:t xml:space="preserve"> </w:t>
      </w:r>
      <w:r w:rsidR="4C340177" w:rsidRPr="1995680B">
        <w:rPr>
          <w:rFonts w:asciiTheme="minorHAnsi" w:hAnsiTheme="minorHAnsi" w:cstheme="minorBidi"/>
          <w:b/>
          <w:bCs/>
          <w:sz w:val="24"/>
          <w:szCs w:val="24"/>
        </w:rPr>
        <w:t>qui pourrait être impactée p</w:t>
      </w:r>
      <w:r w:rsidR="5BD778CA" w:rsidRPr="1995680B">
        <w:rPr>
          <w:rFonts w:asciiTheme="minorHAnsi" w:hAnsiTheme="minorHAnsi" w:cstheme="minorBidi"/>
          <w:b/>
          <w:bCs/>
          <w:sz w:val="24"/>
          <w:szCs w:val="24"/>
        </w:rPr>
        <w:t xml:space="preserve">ar </w:t>
      </w:r>
      <w:r w:rsidR="003D29B9" w:rsidRPr="1995680B">
        <w:rPr>
          <w:rFonts w:asciiTheme="minorHAnsi" w:hAnsiTheme="minorHAnsi" w:cstheme="minorBidi"/>
          <w:b/>
          <w:bCs/>
          <w:sz w:val="24"/>
          <w:szCs w:val="24"/>
        </w:rPr>
        <w:t xml:space="preserve">un relèvement sensible </w:t>
      </w:r>
      <w:r w:rsidR="009B73CB" w:rsidRPr="1995680B">
        <w:rPr>
          <w:rFonts w:asciiTheme="minorHAnsi" w:hAnsiTheme="minorHAnsi" w:cstheme="minorBidi"/>
          <w:b/>
          <w:bCs/>
          <w:sz w:val="24"/>
          <w:szCs w:val="24"/>
        </w:rPr>
        <w:t>des droit</w:t>
      </w:r>
      <w:r w:rsidR="003D29B9" w:rsidRPr="1995680B">
        <w:rPr>
          <w:rFonts w:asciiTheme="minorHAnsi" w:hAnsiTheme="minorHAnsi" w:cstheme="minorBidi"/>
          <w:b/>
          <w:bCs/>
          <w:sz w:val="24"/>
          <w:szCs w:val="24"/>
        </w:rPr>
        <w:t>s de douane aux</w:t>
      </w:r>
      <w:r w:rsidR="00C224E3" w:rsidRPr="1995680B">
        <w:rPr>
          <w:rFonts w:asciiTheme="minorHAnsi" w:hAnsiTheme="minorHAnsi" w:cstheme="minorBidi"/>
          <w:b/>
          <w:bCs/>
          <w:sz w:val="24"/>
          <w:szCs w:val="24"/>
        </w:rPr>
        <w:t xml:space="preserve"> USA</w:t>
      </w:r>
      <w:r w:rsidR="00964654" w:rsidRPr="1995680B">
        <w:rPr>
          <w:rFonts w:asciiTheme="minorHAnsi" w:hAnsiTheme="minorHAnsi" w:cstheme="minorBidi"/>
          <w:b/>
          <w:bCs/>
          <w:sz w:val="24"/>
          <w:szCs w:val="24"/>
        </w:rPr>
        <w:t xml:space="preserve"> en raison de la guerre commerciale entre les États-Unis et la Chine</w:t>
      </w:r>
      <w:r w:rsidR="00C53C3A" w:rsidRPr="1995680B">
        <w:rPr>
          <w:rFonts w:asciiTheme="minorHAnsi" w:hAnsiTheme="minorHAnsi" w:cstheme="minorBidi"/>
          <w:b/>
          <w:bCs/>
          <w:sz w:val="24"/>
          <w:szCs w:val="24"/>
        </w:rPr>
        <w:t xml:space="preserve"> </w:t>
      </w:r>
      <w:r w:rsidR="00431867" w:rsidRPr="1995680B">
        <w:rPr>
          <w:rFonts w:asciiTheme="minorHAnsi" w:hAnsiTheme="minorHAnsi" w:cstheme="minorBidi"/>
          <w:b/>
          <w:bCs/>
          <w:sz w:val="24"/>
          <w:szCs w:val="24"/>
        </w:rPr>
        <w:t xml:space="preserve">et </w:t>
      </w:r>
      <w:r w:rsidR="00C53C3A" w:rsidRPr="1995680B">
        <w:rPr>
          <w:rFonts w:asciiTheme="minorHAnsi" w:hAnsiTheme="minorHAnsi" w:cstheme="minorBidi"/>
          <w:b/>
          <w:bCs/>
          <w:sz w:val="24"/>
          <w:szCs w:val="24"/>
        </w:rPr>
        <w:t xml:space="preserve">malgré un </w:t>
      </w:r>
      <w:r w:rsidR="00074900" w:rsidRPr="1995680B">
        <w:rPr>
          <w:rFonts w:asciiTheme="minorHAnsi" w:hAnsiTheme="minorHAnsi" w:cstheme="minorBidi"/>
          <w:b/>
          <w:bCs/>
          <w:sz w:val="24"/>
          <w:szCs w:val="24"/>
        </w:rPr>
        <w:t>T</w:t>
      </w:r>
      <w:r w:rsidR="00C53C3A" w:rsidRPr="1995680B">
        <w:rPr>
          <w:rFonts w:asciiTheme="minorHAnsi" w:hAnsiTheme="minorHAnsi" w:cstheme="minorBidi"/>
          <w:b/>
          <w:bCs/>
          <w:sz w:val="24"/>
          <w:szCs w:val="24"/>
        </w:rPr>
        <w:t xml:space="preserve">1 </w:t>
      </w:r>
      <w:r w:rsidR="006A62AC" w:rsidRPr="1995680B">
        <w:rPr>
          <w:rFonts w:asciiTheme="minorHAnsi" w:hAnsiTheme="minorHAnsi" w:cstheme="minorBidi"/>
          <w:b/>
          <w:bCs/>
          <w:sz w:val="24"/>
          <w:szCs w:val="24"/>
        </w:rPr>
        <w:t xml:space="preserve">attendu en forte progression </w:t>
      </w:r>
      <w:r w:rsidR="00261F82" w:rsidRPr="1995680B">
        <w:rPr>
          <w:rFonts w:asciiTheme="minorHAnsi" w:hAnsiTheme="minorHAnsi" w:cstheme="minorBidi"/>
          <w:b/>
          <w:bCs/>
          <w:sz w:val="24"/>
          <w:szCs w:val="24"/>
        </w:rPr>
        <w:t>grâce à</w:t>
      </w:r>
      <w:r w:rsidR="006A62AC" w:rsidRPr="1995680B">
        <w:rPr>
          <w:rFonts w:asciiTheme="minorHAnsi" w:hAnsiTheme="minorHAnsi" w:cstheme="minorBidi"/>
          <w:b/>
          <w:bCs/>
          <w:sz w:val="24"/>
          <w:szCs w:val="24"/>
        </w:rPr>
        <w:t xml:space="preserve"> la sortie du film Stitch </w:t>
      </w:r>
      <w:r w:rsidR="00431867" w:rsidRPr="1995680B">
        <w:rPr>
          <w:rFonts w:asciiTheme="minorHAnsi" w:hAnsiTheme="minorHAnsi" w:cstheme="minorBidi"/>
          <w:b/>
          <w:bCs/>
          <w:sz w:val="24"/>
          <w:szCs w:val="24"/>
        </w:rPr>
        <w:t xml:space="preserve">en </w:t>
      </w:r>
      <w:r w:rsidR="00261F82" w:rsidRPr="1995680B">
        <w:rPr>
          <w:rFonts w:asciiTheme="minorHAnsi" w:hAnsiTheme="minorHAnsi" w:cstheme="minorBidi"/>
          <w:b/>
          <w:bCs/>
          <w:sz w:val="24"/>
          <w:szCs w:val="24"/>
        </w:rPr>
        <w:t>mai</w:t>
      </w:r>
      <w:r w:rsidR="00431867" w:rsidRPr="1995680B">
        <w:rPr>
          <w:rFonts w:asciiTheme="minorHAnsi" w:hAnsiTheme="minorHAnsi" w:cstheme="minorBidi"/>
          <w:b/>
          <w:bCs/>
          <w:sz w:val="24"/>
          <w:szCs w:val="24"/>
        </w:rPr>
        <w:t xml:space="preserve"> 2025.</w:t>
      </w:r>
    </w:p>
    <w:p w14:paraId="50D6ECBE" w14:textId="35BC685E" w:rsidR="007C24EB" w:rsidRPr="009A643C" w:rsidRDefault="00ED6E93" w:rsidP="001A4D23">
      <w:pPr>
        <w:pStyle w:val="Paragraphedeliste"/>
        <w:numPr>
          <w:ilvl w:val="0"/>
          <w:numId w:val="21"/>
        </w:numPr>
        <w:spacing w:after="80"/>
        <w:jc w:val="both"/>
        <w:outlineLvl w:val="0"/>
        <w:rPr>
          <w:rFonts w:asciiTheme="minorHAnsi" w:hAnsiTheme="minorHAnsi" w:cstheme="minorBidi"/>
          <w:b/>
          <w:bCs/>
          <w:sz w:val="24"/>
          <w:szCs w:val="24"/>
        </w:rPr>
        <w:sectPr w:rsidR="007C24EB" w:rsidRPr="009A643C" w:rsidSect="000B345C">
          <w:headerReference w:type="even" r:id="rId8"/>
          <w:headerReference w:type="default" r:id="rId9"/>
          <w:footerReference w:type="default" r:id="rId10"/>
          <w:headerReference w:type="first" r:id="rId11"/>
          <w:footnotePr>
            <w:numRestart w:val="eachPage"/>
          </w:footnotePr>
          <w:pgSz w:w="11906" w:h="16838" w:code="9"/>
          <w:pgMar w:top="720" w:right="720" w:bottom="720" w:left="720" w:header="709" w:footer="567" w:gutter="0"/>
          <w:cols w:space="708"/>
          <w:docGrid w:linePitch="360"/>
        </w:sectPr>
      </w:pPr>
      <w:r>
        <w:rPr>
          <w:rFonts w:asciiTheme="minorHAnsi" w:hAnsiTheme="minorHAnsi" w:cstheme="minorBidi"/>
          <w:b/>
          <w:bCs/>
          <w:sz w:val="24"/>
          <w:szCs w:val="24"/>
        </w:rPr>
        <w:t xml:space="preserve">Le niveau </w:t>
      </w:r>
      <w:r w:rsidR="00C03BE5">
        <w:rPr>
          <w:rFonts w:asciiTheme="minorHAnsi" w:hAnsiTheme="minorHAnsi" w:cstheme="minorBidi"/>
          <w:b/>
          <w:bCs/>
          <w:sz w:val="24"/>
          <w:szCs w:val="24"/>
        </w:rPr>
        <w:t>actuel du</w:t>
      </w:r>
      <w:r>
        <w:rPr>
          <w:rFonts w:asciiTheme="minorHAnsi" w:hAnsiTheme="minorHAnsi" w:cstheme="minorBidi"/>
          <w:b/>
          <w:bCs/>
          <w:sz w:val="24"/>
          <w:szCs w:val="24"/>
        </w:rPr>
        <w:t xml:space="preserve"> Dollar </w:t>
      </w:r>
      <w:r w:rsidR="001E1326">
        <w:rPr>
          <w:rFonts w:asciiTheme="minorHAnsi" w:hAnsiTheme="minorHAnsi" w:cstheme="minorBidi"/>
          <w:b/>
          <w:bCs/>
          <w:sz w:val="24"/>
          <w:szCs w:val="24"/>
        </w:rPr>
        <w:t xml:space="preserve">américain contre l’euro   implique </w:t>
      </w:r>
      <w:r w:rsidR="000D6552">
        <w:rPr>
          <w:rFonts w:asciiTheme="minorHAnsi" w:hAnsiTheme="minorHAnsi" w:cstheme="minorBidi"/>
          <w:b/>
          <w:bCs/>
          <w:sz w:val="24"/>
          <w:szCs w:val="24"/>
        </w:rPr>
        <w:t xml:space="preserve">un doublement de la plupart des contrats de couverture de change </w:t>
      </w:r>
      <w:r w:rsidR="00C1708E">
        <w:rPr>
          <w:rFonts w:asciiTheme="minorHAnsi" w:hAnsiTheme="minorHAnsi" w:cstheme="minorBidi"/>
          <w:b/>
          <w:bCs/>
          <w:sz w:val="24"/>
          <w:szCs w:val="24"/>
        </w:rPr>
        <w:t>à un cours défavorable</w:t>
      </w:r>
      <w:r w:rsidR="000D6552">
        <w:rPr>
          <w:rFonts w:asciiTheme="minorHAnsi" w:hAnsiTheme="minorHAnsi" w:cstheme="minorBidi"/>
          <w:b/>
          <w:bCs/>
          <w:sz w:val="24"/>
          <w:szCs w:val="24"/>
        </w:rPr>
        <w:t xml:space="preserve">, ce qui </w:t>
      </w:r>
      <w:r w:rsidR="00C03BE5">
        <w:rPr>
          <w:rFonts w:asciiTheme="minorHAnsi" w:hAnsiTheme="minorHAnsi" w:cstheme="minorBidi"/>
          <w:b/>
          <w:bCs/>
          <w:sz w:val="24"/>
          <w:szCs w:val="24"/>
        </w:rPr>
        <w:t>affectera le</w:t>
      </w:r>
      <w:r w:rsidR="00582179">
        <w:rPr>
          <w:rFonts w:asciiTheme="minorHAnsi" w:hAnsiTheme="minorHAnsi" w:cstheme="minorBidi"/>
          <w:b/>
          <w:bCs/>
          <w:sz w:val="24"/>
          <w:szCs w:val="24"/>
        </w:rPr>
        <w:t xml:space="preserve"> résultat financier cette année.</w:t>
      </w:r>
    </w:p>
    <w:p w14:paraId="2D85E7DE" w14:textId="0B6558F9" w:rsidR="007F4864" w:rsidRDefault="2326AA9C" w:rsidP="6BEB91E7">
      <w:pPr>
        <w:pStyle w:val="Titre2"/>
        <w:spacing w:before="360" w:beforeAutospacing="0" w:after="0" w:afterAutospacing="0"/>
        <w:jc w:val="both"/>
        <w:rPr>
          <w:rFonts w:asciiTheme="minorHAnsi" w:hAnsiTheme="minorHAnsi" w:cstheme="minorBidi"/>
          <w:b w:val="0"/>
          <w:bCs w:val="0"/>
          <w:sz w:val="24"/>
          <w:szCs w:val="24"/>
        </w:rPr>
      </w:pPr>
      <w:r w:rsidRPr="6BEB91E7">
        <w:rPr>
          <w:rFonts w:asciiTheme="minorHAnsi" w:hAnsiTheme="minorHAnsi" w:cstheme="minorBidi"/>
          <w:b w:val="0"/>
          <w:bCs w:val="0"/>
          <w:sz w:val="24"/>
          <w:szCs w:val="24"/>
        </w:rPr>
        <w:lastRenderedPageBreak/>
        <w:t xml:space="preserve">Lexibook (ISIN </w:t>
      </w:r>
      <w:r w:rsidR="32795BBE" w:rsidRPr="6BEB91E7">
        <w:rPr>
          <w:rFonts w:asciiTheme="minorHAnsi" w:hAnsiTheme="minorHAnsi" w:cstheme="minorBidi"/>
          <w:b w:val="0"/>
          <w:bCs w:val="0"/>
          <w:sz w:val="24"/>
          <w:szCs w:val="24"/>
        </w:rPr>
        <w:t>FR0000033599</w:t>
      </w:r>
      <w:r w:rsidRPr="6BEB91E7">
        <w:rPr>
          <w:rFonts w:asciiTheme="minorHAnsi" w:hAnsiTheme="minorHAnsi" w:cstheme="minorBidi"/>
          <w:b w:val="0"/>
          <w:bCs w:val="0"/>
          <w:sz w:val="24"/>
          <w:szCs w:val="24"/>
        </w:rPr>
        <w:t xml:space="preserve">) annonce aujourd’hui ses états financiers </w:t>
      </w:r>
      <w:r w:rsidR="66BA28B9" w:rsidRPr="6BEB91E7">
        <w:rPr>
          <w:rFonts w:asciiTheme="minorHAnsi" w:hAnsiTheme="minorHAnsi" w:cstheme="minorBidi"/>
          <w:b w:val="0"/>
          <w:bCs w:val="0"/>
          <w:sz w:val="24"/>
          <w:szCs w:val="24"/>
        </w:rPr>
        <w:t xml:space="preserve">annuels </w:t>
      </w:r>
      <w:r w:rsidRPr="6BEB91E7">
        <w:rPr>
          <w:rFonts w:asciiTheme="minorHAnsi" w:hAnsiTheme="minorHAnsi" w:cstheme="minorBidi"/>
          <w:b w:val="0"/>
          <w:bCs w:val="0"/>
          <w:sz w:val="24"/>
          <w:szCs w:val="24"/>
        </w:rPr>
        <w:t xml:space="preserve">pour </w:t>
      </w:r>
      <w:r w:rsidR="0424D2F6" w:rsidRPr="6BEB91E7">
        <w:rPr>
          <w:rFonts w:asciiTheme="minorHAnsi" w:hAnsiTheme="minorHAnsi" w:cstheme="minorBidi"/>
          <w:b w:val="0"/>
          <w:bCs w:val="0"/>
          <w:sz w:val="24"/>
          <w:szCs w:val="24"/>
        </w:rPr>
        <w:t xml:space="preserve">l’exercice </w:t>
      </w:r>
      <w:r w:rsidR="70FBA46F" w:rsidRPr="6BEB91E7">
        <w:rPr>
          <w:rFonts w:asciiTheme="minorHAnsi" w:hAnsiTheme="minorHAnsi" w:cstheme="minorBidi"/>
          <w:b w:val="0"/>
          <w:bCs w:val="0"/>
          <w:sz w:val="24"/>
          <w:szCs w:val="24"/>
        </w:rPr>
        <w:t xml:space="preserve">clos au </w:t>
      </w:r>
      <w:r w:rsidR="0424D2F6" w:rsidRPr="6BEB91E7">
        <w:rPr>
          <w:rFonts w:asciiTheme="minorHAnsi" w:hAnsiTheme="minorHAnsi" w:cstheme="minorBidi"/>
          <w:b w:val="0"/>
          <w:bCs w:val="0"/>
          <w:sz w:val="24"/>
          <w:szCs w:val="24"/>
        </w:rPr>
        <w:t xml:space="preserve">31 </w:t>
      </w:r>
      <w:r w:rsidR="096FC16A" w:rsidRPr="6BEB91E7">
        <w:rPr>
          <w:rFonts w:asciiTheme="minorHAnsi" w:hAnsiTheme="minorHAnsi" w:cstheme="minorBidi"/>
          <w:b w:val="0"/>
          <w:bCs w:val="0"/>
          <w:sz w:val="24"/>
          <w:szCs w:val="24"/>
        </w:rPr>
        <w:t>m</w:t>
      </w:r>
      <w:r w:rsidR="795E494D" w:rsidRPr="6BEB91E7">
        <w:rPr>
          <w:rFonts w:asciiTheme="minorHAnsi" w:hAnsiTheme="minorHAnsi" w:cstheme="minorBidi"/>
          <w:b w:val="0"/>
          <w:bCs w:val="0"/>
          <w:sz w:val="24"/>
          <w:szCs w:val="24"/>
        </w:rPr>
        <w:t>ars</w:t>
      </w:r>
      <w:r w:rsidR="0424D2F6" w:rsidRPr="6BEB91E7">
        <w:rPr>
          <w:rFonts w:asciiTheme="minorHAnsi" w:hAnsiTheme="minorHAnsi" w:cstheme="minorBidi"/>
          <w:b w:val="0"/>
          <w:bCs w:val="0"/>
          <w:sz w:val="24"/>
          <w:szCs w:val="24"/>
        </w:rPr>
        <w:t xml:space="preserve"> 20</w:t>
      </w:r>
      <w:r w:rsidR="23817EA4" w:rsidRPr="6BEB91E7">
        <w:rPr>
          <w:rFonts w:asciiTheme="minorHAnsi" w:hAnsiTheme="minorHAnsi" w:cstheme="minorBidi"/>
          <w:b w:val="0"/>
          <w:bCs w:val="0"/>
          <w:sz w:val="24"/>
          <w:szCs w:val="24"/>
        </w:rPr>
        <w:t>2</w:t>
      </w:r>
      <w:r w:rsidR="6B3DE219" w:rsidRPr="6BEB91E7">
        <w:rPr>
          <w:rFonts w:asciiTheme="minorHAnsi" w:hAnsiTheme="minorHAnsi" w:cstheme="minorBidi"/>
          <w:b w:val="0"/>
          <w:bCs w:val="0"/>
          <w:sz w:val="24"/>
          <w:szCs w:val="24"/>
        </w:rPr>
        <w:t>5</w:t>
      </w:r>
      <w:r w:rsidR="3996A2F7" w:rsidRPr="6BEB91E7">
        <w:rPr>
          <w:rFonts w:asciiTheme="minorHAnsi" w:hAnsiTheme="minorHAnsi" w:cstheme="minorBidi"/>
          <w:b w:val="0"/>
          <w:bCs w:val="0"/>
          <w:sz w:val="24"/>
          <w:szCs w:val="24"/>
        </w:rPr>
        <w:t xml:space="preserve">. </w:t>
      </w:r>
      <w:r w:rsidR="23D90540" w:rsidRPr="6BEB91E7">
        <w:rPr>
          <w:rFonts w:asciiTheme="minorHAnsi" w:hAnsiTheme="minorHAnsi" w:cstheme="minorBidi"/>
          <w:b w:val="0"/>
          <w:bCs w:val="0"/>
          <w:sz w:val="24"/>
          <w:szCs w:val="24"/>
        </w:rPr>
        <w:t xml:space="preserve">Ces états financiers ont été arrêtés par le Directoire le </w:t>
      </w:r>
      <w:r w:rsidR="601C2129" w:rsidRPr="6BEB91E7">
        <w:rPr>
          <w:rFonts w:asciiTheme="minorHAnsi" w:hAnsiTheme="minorHAnsi" w:cstheme="minorBidi"/>
          <w:b w:val="0"/>
          <w:bCs w:val="0"/>
          <w:sz w:val="24"/>
          <w:szCs w:val="24"/>
        </w:rPr>
        <w:t>1</w:t>
      </w:r>
      <w:r w:rsidR="2FF503B1" w:rsidRPr="6BEB91E7">
        <w:rPr>
          <w:rFonts w:asciiTheme="minorHAnsi" w:hAnsiTheme="minorHAnsi" w:cstheme="minorBidi"/>
          <w:b w:val="0"/>
          <w:bCs w:val="0"/>
          <w:sz w:val="24"/>
          <w:szCs w:val="24"/>
        </w:rPr>
        <w:t>6</w:t>
      </w:r>
      <w:r w:rsidR="601C2129" w:rsidRPr="6BEB91E7">
        <w:rPr>
          <w:rFonts w:asciiTheme="minorHAnsi" w:hAnsiTheme="minorHAnsi" w:cstheme="minorBidi"/>
          <w:b w:val="0"/>
          <w:bCs w:val="0"/>
          <w:sz w:val="24"/>
          <w:szCs w:val="24"/>
        </w:rPr>
        <w:t xml:space="preserve"> juin</w:t>
      </w:r>
      <w:r w:rsidR="23D90540" w:rsidRPr="6BEB91E7">
        <w:rPr>
          <w:rFonts w:asciiTheme="minorHAnsi" w:hAnsiTheme="minorHAnsi" w:cstheme="minorBidi"/>
          <w:b w:val="0"/>
          <w:bCs w:val="0"/>
          <w:sz w:val="24"/>
          <w:szCs w:val="24"/>
        </w:rPr>
        <w:t xml:space="preserve"> 202</w:t>
      </w:r>
      <w:r w:rsidR="193647E0" w:rsidRPr="6BEB91E7">
        <w:rPr>
          <w:rFonts w:asciiTheme="minorHAnsi" w:hAnsiTheme="minorHAnsi" w:cstheme="minorBidi"/>
          <w:b w:val="0"/>
          <w:bCs w:val="0"/>
          <w:sz w:val="24"/>
          <w:szCs w:val="24"/>
        </w:rPr>
        <w:t>5</w:t>
      </w:r>
      <w:r w:rsidR="23D90540" w:rsidRPr="6BEB91E7">
        <w:rPr>
          <w:rFonts w:asciiTheme="minorHAnsi" w:hAnsiTheme="minorHAnsi" w:cstheme="minorBidi"/>
          <w:b w:val="0"/>
          <w:bCs w:val="0"/>
          <w:sz w:val="24"/>
          <w:szCs w:val="24"/>
        </w:rPr>
        <w:t xml:space="preserve">. </w:t>
      </w:r>
      <w:r w:rsidR="3996A2F7" w:rsidRPr="6BEB91E7">
        <w:rPr>
          <w:rFonts w:asciiTheme="minorHAnsi" w:hAnsiTheme="minorHAnsi" w:cstheme="minorBidi"/>
          <w:b w:val="0"/>
          <w:bCs w:val="0"/>
          <w:sz w:val="24"/>
          <w:szCs w:val="24"/>
        </w:rPr>
        <w:t xml:space="preserve">Les </w:t>
      </w:r>
      <w:r w:rsidR="7369B17E" w:rsidRPr="6BEB91E7">
        <w:rPr>
          <w:rFonts w:asciiTheme="minorHAnsi" w:hAnsiTheme="minorHAnsi" w:cstheme="minorBidi"/>
          <w:b w:val="0"/>
          <w:bCs w:val="0"/>
          <w:sz w:val="24"/>
          <w:szCs w:val="24"/>
        </w:rPr>
        <w:t>comptes sont audités.</w:t>
      </w:r>
    </w:p>
    <w:p w14:paraId="5E18542D" w14:textId="77777777" w:rsidR="0082252D" w:rsidRPr="00095F64" w:rsidRDefault="0082252D" w:rsidP="009C04F0">
      <w:pPr>
        <w:pStyle w:val="Titre2"/>
        <w:spacing w:before="0" w:beforeAutospacing="0" w:after="0" w:afterAutospacing="0"/>
        <w:jc w:val="both"/>
        <w:rPr>
          <w:rFonts w:asciiTheme="minorHAnsi" w:hAnsiTheme="minorHAnsi" w:cstheme="minorHAnsi"/>
          <w:b w:val="0"/>
          <w:sz w:val="24"/>
          <w:szCs w:val="24"/>
        </w:rPr>
      </w:pPr>
    </w:p>
    <w:tbl>
      <w:tblPr>
        <w:tblW w:w="0" w:type="auto"/>
        <w:tblLayout w:type="fixed"/>
        <w:tblLook w:val="06A0" w:firstRow="1" w:lastRow="0" w:firstColumn="1" w:lastColumn="0" w:noHBand="1" w:noVBand="1"/>
      </w:tblPr>
      <w:tblGrid>
        <w:gridCol w:w="3871"/>
        <w:gridCol w:w="3205"/>
        <w:gridCol w:w="2583"/>
        <w:gridCol w:w="1151"/>
      </w:tblGrid>
      <w:tr w:rsidR="728E4782" w14:paraId="22A7C933" w14:textId="77777777" w:rsidTr="728E4782">
        <w:trPr>
          <w:trHeight w:val="525"/>
        </w:trPr>
        <w:tc>
          <w:tcPr>
            <w:tcW w:w="38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bottom"/>
          </w:tcPr>
          <w:p w14:paraId="36DDF47F" w14:textId="017CDA01" w:rsidR="728E4782" w:rsidRDefault="728E4782" w:rsidP="728E4782">
            <w:pPr>
              <w:spacing w:after="0"/>
            </w:pPr>
            <w:r w:rsidRPr="728E4782">
              <w:rPr>
                <w:rFonts w:ascii="Arial" w:eastAsia="Arial" w:hAnsi="Arial" w:cs="Arial"/>
                <w:b/>
                <w:bCs/>
                <w:sz w:val="20"/>
                <w:szCs w:val="20"/>
              </w:rPr>
              <w:t>En K€</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center"/>
          </w:tcPr>
          <w:p w14:paraId="1769CF53" w14:textId="55B2F032" w:rsidR="728E4782" w:rsidRDefault="728E4782" w:rsidP="728E4782">
            <w:pPr>
              <w:spacing w:after="0"/>
              <w:jc w:val="center"/>
            </w:pPr>
            <w:r w:rsidRPr="728E4782">
              <w:rPr>
                <w:rFonts w:ascii="Arial" w:eastAsia="Arial" w:hAnsi="Arial" w:cs="Arial"/>
                <w:b/>
                <w:bCs/>
                <w:sz w:val="16"/>
                <w:szCs w:val="16"/>
              </w:rPr>
              <w:t>31 MARS 2025</w:t>
            </w:r>
          </w:p>
        </w:tc>
        <w:tc>
          <w:tcPr>
            <w:tcW w:w="25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center"/>
          </w:tcPr>
          <w:p w14:paraId="1874442F" w14:textId="59F838D3" w:rsidR="728E4782" w:rsidRDefault="728E4782" w:rsidP="728E4782">
            <w:pPr>
              <w:spacing w:after="0"/>
              <w:jc w:val="center"/>
            </w:pPr>
            <w:r w:rsidRPr="728E4782">
              <w:rPr>
                <w:rFonts w:ascii="Arial" w:eastAsia="Arial" w:hAnsi="Arial" w:cs="Arial"/>
                <w:b/>
                <w:bCs/>
                <w:sz w:val="16"/>
                <w:szCs w:val="16"/>
              </w:rPr>
              <w:t>31 MARS 2024</w:t>
            </w:r>
          </w:p>
        </w:tc>
        <w:tc>
          <w:tcPr>
            <w:tcW w:w="11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center"/>
          </w:tcPr>
          <w:p w14:paraId="310455CD" w14:textId="6E6EBF08" w:rsidR="728E4782" w:rsidRDefault="728E4782" w:rsidP="728E4782">
            <w:pPr>
              <w:spacing w:after="0"/>
              <w:jc w:val="center"/>
            </w:pPr>
            <w:r w:rsidRPr="728E4782">
              <w:rPr>
                <w:rFonts w:ascii="Arial" w:eastAsia="Arial" w:hAnsi="Arial" w:cs="Arial"/>
                <w:b/>
                <w:bCs/>
                <w:sz w:val="20"/>
                <w:szCs w:val="20"/>
              </w:rPr>
              <w:t>Variation %</w:t>
            </w:r>
          </w:p>
        </w:tc>
      </w:tr>
      <w:tr w:rsidR="728E4782" w14:paraId="60B00B8C" w14:textId="77777777" w:rsidTr="728E4782">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5C29E9D" w14:textId="0E85D5F0" w:rsidR="728E4782" w:rsidRDefault="728E4782" w:rsidP="728E4782">
            <w:pPr>
              <w:spacing w:after="0"/>
            </w:pPr>
            <w:r w:rsidRPr="728E4782">
              <w:rPr>
                <w:rFonts w:ascii="Arial" w:eastAsia="Arial" w:hAnsi="Arial" w:cs="Arial"/>
                <w:b/>
                <w:bCs/>
                <w:sz w:val="20"/>
                <w:szCs w:val="20"/>
              </w:rPr>
              <w:t>Chiffre d'affaires net</w:t>
            </w:r>
          </w:p>
        </w:tc>
        <w:tc>
          <w:tcPr>
            <w:tcW w:w="3205"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C2971BA" w14:textId="1A252CAD" w:rsidR="728E4782" w:rsidRDefault="728E4782" w:rsidP="728E4782">
            <w:pPr>
              <w:spacing w:after="0"/>
              <w:jc w:val="right"/>
            </w:pPr>
            <w:r w:rsidRPr="728E4782">
              <w:rPr>
                <w:rFonts w:ascii="Arial" w:eastAsia="Arial" w:hAnsi="Arial" w:cs="Arial"/>
                <w:b/>
                <w:bCs/>
                <w:sz w:val="20"/>
                <w:szCs w:val="20"/>
              </w:rPr>
              <w:t>74 012</w:t>
            </w:r>
          </w:p>
        </w:tc>
        <w:tc>
          <w:tcPr>
            <w:tcW w:w="258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BEE2E7B" w14:textId="205B2135" w:rsidR="728E4782" w:rsidRDefault="728E4782" w:rsidP="728E4782">
            <w:pPr>
              <w:spacing w:after="0"/>
              <w:jc w:val="right"/>
            </w:pPr>
            <w:r w:rsidRPr="728E4782">
              <w:rPr>
                <w:rFonts w:ascii="Arial" w:eastAsia="Arial" w:hAnsi="Arial" w:cs="Arial"/>
                <w:b/>
                <w:bCs/>
                <w:sz w:val="20"/>
                <w:szCs w:val="20"/>
              </w:rPr>
              <w:t>58 621</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6F8C2AA" w14:textId="51ED04AB" w:rsidR="728E4782" w:rsidRDefault="728E4782" w:rsidP="728E4782">
            <w:pPr>
              <w:spacing w:after="0"/>
              <w:jc w:val="right"/>
            </w:pPr>
            <w:r w:rsidRPr="728E4782">
              <w:rPr>
                <w:rFonts w:ascii="Arial" w:eastAsia="Arial" w:hAnsi="Arial" w:cs="Arial"/>
                <w:b/>
                <w:bCs/>
                <w:sz w:val="20"/>
                <w:szCs w:val="20"/>
              </w:rPr>
              <w:t>26,3%</w:t>
            </w:r>
          </w:p>
        </w:tc>
      </w:tr>
      <w:tr w:rsidR="728E4782" w14:paraId="312FC6E7" w14:textId="77777777" w:rsidTr="728E4782">
        <w:trPr>
          <w:trHeight w:val="285"/>
        </w:trPr>
        <w:tc>
          <w:tcPr>
            <w:tcW w:w="387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F31072F" w14:textId="504E20ED" w:rsidR="728E4782" w:rsidRDefault="728E4782" w:rsidP="728E4782">
            <w:pPr>
              <w:spacing w:after="0"/>
            </w:pPr>
            <w:r w:rsidRPr="728E4782">
              <w:rPr>
                <w:rFonts w:ascii="Arial" w:eastAsia="Arial" w:hAnsi="Arial" w:cs="Arial"/>
                <w:b/>
                <w:bCs/>
                <w:sz w:val="20"/>
                <w:szCs w:val="20"/>
              </w:rPr>
              <w:t>Marge Brute</w:t>
            </w:r>
          </w:p>
        </w:tc>
        <w:tc>
          <w:tcPr>
            <w:tcW w:w="3205"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D203C25" w14:textId="5DFEA87F" w:rsidR="728E4782" w:rsidRDefault="728E4782" w:rsidP="728E4782">
            <w:pPr>
              <w:spacing w:after="0"/>
              <w:jc w:val="right"/>
            </w:pPr>
            <w:r w:rsidRPr="728E4782">
              <w:rPr>
                <w:rFonts w:ascii="Arial" w:eastAsia="Arial" w:hAnsi="Arial" w:cs="Arial"/>
                <w:b/>
                <w:bCs/>
                <w:sz w:val="20"/>
                <w:szCs w:val="20"/>
              </w:rPr>
              <w:t>44 557</w:t>
            </w:r>
          </w:p>
        </w:tc>
        <w:tc>
          <w:tcPr>
            <w:tcW w:w="258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5D428BC" w14:textId="6D084155" w:rsidR="728E4782" w:rsidRDefault="728E4782" w:rsidP="728E4782">
            <w:pPr>
              <w:spacing w:after="0"/>
              <w:jc w:val="right"/>
            </w:pPr>
            <w:r w:rsidRPr="728E4782">
              <w:rPr>
                <w:rFonts w:ascii="Arial" w:eastAsia="Arial" w:hAnsi="Arial" w:cs="Arial"/>
                <w:b/>
                <w:bCs/>
                <w:sz w:val="20"/>
                <w:szCs w:val="20"/>
              </w:rPr>
              <w:t>35 086</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B5D2A72" w14:textId="00696742" w:rsidR="728E4782" w:rsidRDefault="728E4782" w:rsidP="728E4782">
            <w:pPr>
              <w:spacing w:after="0"/>
              <w:jc w:val="right"/>
            </w:pPr>
            <w:r w:rsidRPr="728E4782">
              <w:rPr>
                <w:rFonts w:ascii="Arial" w:eastAsia="Arial" w:hAnsi="Arial" w:cs="Arial"/>
                <w:b/>
                <w:bCs/>
                <w:sz w:val="20"/>
                <w:szCs w:val="20"/>
              </w:rPr>
              <w:t>27,0%</w:t>
            </w:r>
          </w:p>
        </w:tc>
      </w:tr>
      <w:tr w:rsidR="728E4782" w14:paraId="0B8374B5" w14:textId="77777777" w:rsidTr="728E4782">
        <w:trPr>
          <w:trHeight w:val="285"/>
        </w:trPr>
        <w:tc>
          <w:tcPr>
            <w:tcW w:w="387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5DA7635F" w14:textId="4BE59239" w:rsidR="728E4782" w:rsidRDefault="728E4782" w:rsidP="728E4782">
            <w:pPr>
              <w:spacing w:after="0"/>
            </w:pPr>
            <w:r w:rsidRPr="728E4782">
              <w:rPr>
                <w:rFonts w:ascii="Arial" w:eastAsia="Arial" w:hAnsi="Arial" w:cs="Arial"/>
                <w:b/>
                <w:bCs/>
                <w:sz w:val="20"/>
                <w:szCs w:val="20"/>
              </w:rPr>
              <w:t xml:space="preserve">Résultat d'exploitation </w:t>
            </w:r>
          </w:p>
        </w:tc>
        <w:tc>
          <w:tcPr>
            <w:tcW w:w="3205"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0178077" w14:textId="0BB41AFC" w:rsidR="728E4782" w:rsidRDefault="728E4782" w:rsidP="728E4782">
            <w:pPr>
              <w:spacing w:after="0"/>
              <w:jc w:val="right"/>
            </w:pPr>
            <w:r w:rsidRPr="728E4782">
              <w:rPr>
                <w:rFonts w:ascii="Arial" w:eastAsia="Arial" w:hAnsi="Arial" w:cs="Arial"/>
                <w:b/>
                <w:bCs/>
                <w:sz w:val="20"/>
                <w:szCs w:val="20"/>
              </w:rPr>
              <w:t>8 098</w:t>
            </w:r>
          </w:p>
        </w:tc>
        <w:tc>
          <w:tcPr>
            <w:tcW w:w="258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2B2E99D" w14:textId="41096E42" w:rsidR="728E4782" w:rsidRDefault="728E4782" w:rsidP="728E4782">
            <w:pPr>
              <w:spacing w:after="0"/>
              <w:jc w:val="right"/>
            </w:pPr>
            <w:r w:rsidRPr="728E4782">
              <w:rPr>
                <w:rFonts w:ascii="Arial" w:eastAsia="Arial" w:hAnsi="Arial" w:cs="Arial"/>
                <w:b/>
                <w:bCs/>
                <w:sz w:val="20"/>
                <w:szCs w:val="20"/>
              </w:rPr>
              <w:t>5 951</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36C5BF7" w14:textId="70DDB9BF" w:rsidR="728E4782" w:rsidRDefault="728E4782" w:rsidP="728E4782">
            <w:pPr>
              <w:spacing w:after="0"/>
              <w:jc w:val="right"/>
            </w:pPr>
            <w:r w:rsidRPr="728E4782">
              <w:rPr>
                <w:rFonts w:ascii="Arial" w:eastAsia="Arial" w:hAnsi="Arial" w:cs="Arial"/>
                <w:b/>
                <w:bCs/>
                <w:sz w:val="20"/>
                <w:szCs w:val="20"/>
              </w:rPr>
              <w:t>36,1%</w:t>
            </w:r>
          </w:p>
        </w:tc>
      </w:tr>
      <w:tr w:rsidR="728E4782" w14:paraId="060EB47A" w14:textId="77777777" w:rsidTr="728E4782">
        <w:trPr>
          <w:trHeight w:val="285"/>
        </w:trPr>
        <w:tc>
          <w:tcPr>
            <w:tcW w:w="387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4C69E63" w14:textId="225C7269" w:rsidR="728E4782" w:rsidRDefault="728E4782" w:rsidP="728E4782">
            <w:pPr>
              <w:spacing w:after="0"/>
            </w:pPr>
            <w:r w:rsidRPr="728E4782">
              <w:rPr>
                <w:rFonts w:ascii="Arial" w:eastAsia="Arial" w:hAnsi="Arial" w:cs="Arial"/>
                <w:b/>
                <w:bCs/>
                <w:sz w:val="20"/>
                <w:szCs w:val="20"/>
              </w:rPr>
              <w:t>EBITDA</w:t>
            </w:r>
          </w:p>
        </w:tc>
        <w:tc>
          <w:tcPr>
            <w:tcW w:w="3205"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9A491D4" w14:textId="6E1B3BEB" w:rsidR="728E4782" w:rsidRDefault="728E4782" w:rsidP="728E4782">
            <w:pPr>
              <w:spacing w:after="0"/>
              <w:jc w:val="right"/>
            </w:pPr>
            <w:r w:rsidRPr="728E4782">
              <w:rPr>
                <w:rFonts w:ascii="Arial" w:eastAsia="Arial" w:hAnsi="Arial" w:cs="Arial"/>
                <w:b/>
                <w:bCs/>
                <w:sz w:val="20"/>
                <w:szCs w:val="20"/>
              </w:rPr>
              <w:t>9 721</w:t>
            </w:r>
          </w:p>
        </w:tc>
        <w:tc>
          <w:tcPr>
            <w:tcW w:w="258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89AFC66" w14:textId="203B0C6A" w:rsidR="728E4782" w:rsidRDefault="728E4782" w:rsidP="728E4782">
            <w:pPr>
              <w:spacing w:after="0"/>
              <w:jc w:val="right"/>
            </w:pPr>
            <w:r w:rsidRPr="728E4782">
              <w:rPr>
                <w:rFonts w:ascii="Arial" w:eastAsia="Arial" w:hAnsi="Arial" w:cs="Arial"/>
                <w:b/>
                <w:bCs/>
                <w:sz w:val="20"/>
                <w:szCs w:val="20"/>
              </w:rPr>
              <w:t>7 459</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863B923" w14:textId="078D6B7A" w:rsidR="728E4782" w:rsidRDefault="728E4782" w:rsidP="728E4782">
            <w:pPr>
              <w:spacing w:after="0"/>
              <w:jc w:val="right"/>
            </w:pPr>
            <w:r w:rsidRPr="728E4782">
              <w:rPr>
                <w:rFonts w:ascii="Arial" w:eastAsia="Arial" w:hAnsi="Arial" w:cs="Arial"/>
                <w:b/>
                <w:bCs/>
                <w:sz w:val="20"/>
                <w:szCs w:val="20"/>
              </w:rPr>
              <w:t>30,3%</w:t>
            </w:r>
          </w:p>
        </w:tc>
      </w:tr>
      <w:tr w:rsidR="728E4782" w14:paraId="48429CE5" w14:textId="77777777" w:rsidTr="728E4782">
        <w:trPr>
          <w:trHeight w:val="285"/>
        </w:trPr>
        <w:tc>
          <w:tcPr>
            <w:tcW w:w="387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8E19416" w14:textId="2B985926" w:rsidR="728E4782" w:rsidRDefault="728E4782" w:rsidP="728E4782">
            <w:pPr>
              <w:spacing w:after="0"/>
            </w:pPr>
            <w:r w:rsidRPr="728E4782">
              <w:rPr>
                <w:rFonts w:ascii="Arial" w:eastAsia="Arial" w:hAnsi="Arial" w:cs="Arial"/>
                <w:b/>
                <w:bCs/>
                <w:sz w:val="20"/>
                <w:szCs w:val="20"/>
              </w:rPr>
              <w:t>Résultat net</w:t>
            </w:r>
          </w:p>
        </w:tc>
        <w:tc>
          <w:tcPr>
            <w:tcW w:w="3205"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5A74FF8" w14:textId="46CA3D76" w:rsidR="728E4782" w:rsidRDefault="728E4782" w:rsidP="728E4782">
            <w:pPr>
              <w:spacing w:after="0"/>
              <w:jc w:val="right"/>
            </w:pPr>
            <w:r w:rsidRPr="728E4782">
              <w:rPr>
                <w:rFonts w:ascii="Arial" w:eastAsia="Arial" w:hAnsi="Arial" w:cs="Arial"/>
                <w:b/>
                <w:bCs/>
                <w:sz w:val="20"/>
                <w:szCs w:val="20"/>
              </w:rPr>
              <w:t>7 372</w:t>
            </w:r>
          </w:p>
        </w:tc>
        <w:tc>
          <w:tcPr>
            <w:tcW w:w="258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F6FBFB0" w14:textId="03C0FE8F" w:rsidR="728E4782" w:rsidRDefault="728E4782" w:rsidP="728E4782">
            <w:pPr>
              <w:spacing w:after="0"/>
              <w:jc w:val="right"/>
            </w:pPr>
            <w:r w:rsidRPr="728E4782">
              <w:rPr>
                <w:rFonts w:ascii="Arial" w:eastAsia="Arial" w:hAnsi="Arial" w:cs="Arial"/>
                <w:b/>
                <w:bCs/>
                <w:sz w:val="20"/>
                <w:szCs w:val="20"/>
              </w:rPr>
              <w:t>4 992</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776655D" w14:textId="4AE50A81" w:rsidR="728E4782" w:rsidRDefault="728E4782" w:rsidP="728E4782">
            <w:pPr>
              <w:spacing w:after="0"/>
              <w:jc w:val="right"/>
            </w:pPr>
            <w:r w:rsidRPr="728E4782">
              <w:rPr>
                <w:rFonts w:ascii="Arial" w:eastAsia="Arial" w:hAnsi="Arial" w:cs="Arial"/>
                <w:b/>
                <w:bCs/>
                <w:sz w:val="20"/>
                <w:szCs w:val="20"/>
              </w:rPr>
              <w:t>47,7%</w:t>
            </w:r>
          </w:p>
        </w:tc>
      </w:tr>
    </w:tbl>
    <w:p w14:paraId="24CBA4CA" w14:textId="30A7391A" w:rsidR="0082252D" w:rsidRPr="00095F64" w:rsidRDefault="0082252D" w:rsidP="6BEB91E7">
      <w:pPr>
        <w:spacing w:after="160" w:line="259" w:lineRule="auto"/>
        <w:jc w:val="both"/>
      </w:pPr>
    </w:p>
    <w:p w14:paraId="58916AC8" w14:textId="75922743" w:rsidR="00DB4A10" w:rsidRDefault="3333B381" w:rsidP="6BEB91E7">
      <w:pPr>
        <w:autoSpaceDE w:val="0"/>
        <w:autoSpaceDN w:val="0"/>
        <w:adjustRightInd w:val="0"/>
        <w:spacing w:line="240" w:lineRule="atLeast"/>
        <w:jc w:val="both"/>
        <w:rPr>
          <w:rFonts w:asciiTheme="minorHAnsi" w:hAnsiTheme="minorHAnsi" w:cstheme="minorBidi"/>
          <w:sz w:val="24"/>
          <w:szCs w:val="24"/>
        </w:rPr>
      </w:pPr>
      <w:r w:rsidRPr="6BEB91E7">
        <w:rPr>
          <w:rFonts w:asciiTheme="minorHAnsi" w:hAnsiTheme="minorHAnsi" w:cstheme="minorBidi"/>
          <w:sz w:val="24"/>
          <w:szCs w:val="24"/>
        </w:rPr>
        <w:t>Aymeric Le Cottier, Président d</w:t>
      </w:r>
      <w:r w:rsidR="08834D9A" w:rsidRPr="6BEB91E7">
        <w:rPr>
          <w:rFonts w:asciiTheme="minorHAnsi" w:hAnsiTheme="minorHAnsi" w:cstheme="minorBidi"/>
          <w:sz w:val="24"/>
          <w:szCs w:val="24"/>
        </w:rPr>
        <w:t>u Directoire de Lexibook</w:t>
      </w:r>
      <w:r w:rsidR="6DBC1F67" w:rsidRPr="6BEB91E7">
        <w:rPr>
          <w:rFonts w:asciiTheme="minorHAnsi" w:hAnsiTheme="minorHAnsi" w:cstheme="minorBidi"/>
          <w:sz w:val="24"/>
          <w:szCs w:val="24"/>
        </w:rPr>
        <w:t>,</w:t>
      </w:r>
      <w:r w:rsidR="08834D9A" w:rsidRPr="6BEB91E7">
        <w:rPr>
          <w:rFonts w:asciiTheme="minorHAnsi" w:hAnsiTheme="minorHAnsi" w:cstheme="minorBidi"/>
          <w:sz w:val="24"/>
          <w:szCs w:val="24"/>
        </w:rPr>
        <w:t xml:space="preserve"> a commenté : «</w:t>
      </w:r>
      <w:r w:rsidR="55D5F842" w:rsidRPr="6BEB91E7">
        <w:rPr>
          <w:rFonts w:asciiTheme="minorHAnsi" w:hAnsiTheme="minorHAnsi" w:cstheme="minorBidi"/>
          <w:sz w:val="24"/>
          <w:szCs w:val="24"/>
        </w:rPr>
        <w:t xml:space="preserve"> </w:t>
      </w:r>
      <w:r w:rsidR="599412DF" w:rsidRPr="6BEB91E7">
        <w:rPr>
          <w:rFonts w:asciiTheme="minorHAnsi" w:hAnsiTheme="minorHAnsi" w:cstheme="minorBidi"/>
          <w:sz w:val="24"/>
          <w:szCs w:val="24"/>
        </w:rPr>
        <w:t xml:space="preserve">Après cinq années consécutives de croissance, le Groupe enregistre de nouveau une bonne performance, portée par le développement des ventes en ligne, le succès des nouveautés lancées sur la période, ainsi que par la </w:t>
      </w:r>
      <w:r w:rsidR="00D336B8">
        <w:rPr>
          <w:rFonts w:asciiTheme="minorHAnsi" w:hAnsiTheme="minorHAnsi" w:cstheme="minorBidi"/>
          <w:sz w:val="24"/>
          <w:szCs w:val="24"/>
        </w:rPr>
        <w:t>performance des</w:t>
      </w:r>
      <w:r w:rsidR="00C66346">
        <w:rPr>
          <w:rFonts w:asciiTheme="minorHAnsi" w:hAnsiTheme="minorHAnsi" w:cstheme="minorBidi"/>
          <w:sz w:val="24"/>
          <w:szCs w:val="24"/>
        </w:rPr>
        <w:t xml:space="preserve"> licences et en particulier </w:t>
      </w:r>
      <w:r w:rsidR="599412DF" w:rsidRPr="6BEB91E7">
        <w:rPr>
          <w:rFonts w:asciiTheme="minorHAnsi" w:hAnsiTheme="minorHAnsi" w:cstheme="minorBidi"/>
          <w:sz w:val="24"/>
          <w:szCs w:val="24"/>
        </w:rPr>
        <w:t>Stitch de Disney</w:t>
      </w:r>
      <w:r w:rsidR="5180B522" w:rsidRPr="6BEB91E7">
        <w:rPr>
          <w:rFonts w:asciiTheme="minorHAnsi" w:hAnsiTheme="minorHAnsi" w:cstheme="minorBidi"/>
          <w:sz w:val="24"/>
          <w:szCs w:val="24"/>
        </w:rPr>
        <w:t>.</w:t>
      </w:r>
      <w:r w:rsidR="28539705" w:rsidRPr="6BEB91E7">
        <w:rPr>
          <w:rFonts w:asciiTheme="minorHAnsi" w:hAnsiTheme="minorHAnsi" w:cstheme="minorBidi"/>
          <w:sz w:val="24"/>
          <w:szCs w:val="24"/>
        </w:rPr>
        <w:t xml:space="preserve">  </w:t>
      </w:r>
      <w:r w:rsidR="7A092D5B" w:rsidRPr="6BEB91E7">
        <w:rPr>
          <w:rFonts w:asciiTheme="minorHAnsi" w:hAnsiTheme="minorHAnsi" w:cstheme="minorBidi"/>
          <w:sz w:val="24"/>
          <w:szCs w:val="24"/>
        </w:rPr>
        <w:t xml:space="preserve">Financièrement, </w:t>
      </w:r>
      <w:r w:rsidR="3875840F" w:rsidRPr="6BEB91E7">
        <w:rPr>
          <w:rFonts w:asciiTheme="minorHAnsi" w:hAnsiTheme="minorHAnsi" w:cstheme="minorBidi"/>
          <w:sz w:val="24"/>
          <w:szCs w:val="24"/>
        </w:rPr>
        <w:t>le Groupe est plus solide </w:t>
      </w:r>
      <w:r w:rsidR="06D5C94C" w:rsidRPr="6BEB91E7">
        <w:rPr>
          <w:rFonts w:asciiTheme="minorHAnsi" w:hAnsiTheme="minorHAnsi" w:cstheme="minorBidi"/>
          <w:sz w:val="24"/>
          <w:szCs w:val="24"/>
        </w:rPr>
        <w:t xml:space="preserve">et a les moyens de ses </w:t>
      </w:r>
      <w:r w:rsidR="00C03BE5" w:rsidRPr="6BEB91E7">
        <w:rPr>
          <w:rFonts w:asciiTheme="minorHAnsi" w:hAnsiTheme="minorHAnsi" w:cstheme="minorBidi"/>
          <w:sz w:val="24"/>
          <w:szCs w:val="24"/>
        </w:rPr>
        <w:t>ambitions :</w:t>
      </w:r>
      <w:r w:rsidR="3875840F" w:rsidRPr="6BEB91E7">
        <w:rPr>
          <w:rFonts w:asciiTheme="minorHAnsi" w:hAnsiTheme="minorHAnsi" w:cstheme="minorBidi"/>
          <w:sz w:val="24"/>
          <w:szCs w:val="24"/>
        </w:rPr>
        <w:t xml:space="preserve"> le</w:t>
      </w:r>
      <w:r w:rsidR="2B04AF9D" w:rsidRPr="6BEB91E7">
        <w:rPr>
          <w:rFonts w:asciiTheme="minorHAnsi" w:hAnsiTheme="minorHAnsi" w:cstheme="minorBidi"/>
          <w:sz w:val="24"/>
          <w:szCs w:val="24"/>
        </w:rPr>
        <w:t xml:space="preserve">s fonds </w:t>
      </w:r>
      <w:r w:rsidR="54846048" w:rsidRPr="6BEB91E7">
        <w:rPr>
          <w:rFonts w:asciiTheme="minorHAnsi" w:hAnsiTheme="minorHAnsi" w:cstheme="minorBidi"/>
          <w:sz w:val="24"/>
          <w:szCs w:val="24"/>
        </w:rPr>
        <w:t>propres</w:t>
      </w:r>
      <w:r w:rsidR="6C3AB235" w:rsidRPr="6BEB91E7">
        <w:rPr>
          <w:rFonts w:asciiTheme="minorHAnsi" w:hAnsiTheme="minorHAnsi" w:cstheme="minorBidi"/>
          <w:sz w:val="24"/>
          <w:szCs w:val="24"/>
        </w:rPr>
        <w:t xml:space="preserve"> </w:t>
      </w:r>
      <w:r w:rsidR="54846048" w:rsidRPr="6BEB91E7">
        <w:rPr>
          <w:rFonts w:asciiTheme="minorHAnsi" w:hAnsiTheme="minorHAnsi" w:cstheme="minorBidi"/>
          <w:sz w:val="24"/>
          <w:szCs w:val="24"/>
        </w:rPr>
        <w:t>atteigne</w:t>
      </w:r>
      <w:r w:rsidR="6C3AB235" w:rsidRPr="6BEB91E7">
        <w:rPr>
          <w:rFonts w:asciiTheme="minorHAnsi" w:hAnsiTheme="minorHAnsi" w:cstheme="minorBidi"/>
          <w:sz w:val="24"/>
          <w:szCs w:val="24"/>
        </w:rPr>
        <w:t>nt</w:t>
      </w:r>
      <w:r w:rsidR="54846048" w:rsidRPr="6BEB91E7">
        <w:rPr>
          <w:rFonts w:asciiTheme="minorHAnsi" w:hAnsiTheme="minorHAnsi" w:cstheme="minorBidi"/>
          <w:sz w:val="24"/>
          <w:szCs w:val="24"/>
        </w:rPr>
        <w:t xml:space="preserve"> un niveau historiquement haut à </w:t>
      </w:r>
      <w:r w:rsidR="00C7AEF3" w:rsidRPr="6BEB91E7">
        <w:rPr>
          <w:rFonts w:asciiTheme="minorHAnsi" w:hAnsiTheme="minorHAnsi" w:cstheme="minorBidi"/>
          <w:sz w:val="24"/>
          <w:szCs w:val="24"/>
        </w:rPr>
        <w:t>24</w:t>
      </w:r>
      <w:r w:rsidR="54846048" w:rsidRPr="6BEB91E7">
        <w:rPr>
          <w:rFonts w:asciiTheme="minorHAnsi" w:hAnsiTheme="minorHAnsi" w:cstheme="minorBidi"/>
          <w:sz w:val="24"/>
          <w:szCs w:val="24"/>
        </w:rPr>
        <w:t>M€</w:t>
      </w:r>
      <w:r w:rsidR="3875840F" w:rsidRPr="6BEB91E7">
        <w:rPr>
          <w:rFonts w:asciiTheme="minorHAnsi" w:hAnsiTheme="minorHAnsi" w:cstheme="minorBidi"/>
          <w:sz w:val="24"/>
          <w:szCs w:val="24"/>
        </w:rPr>
        <w:t xml:space="preserve"> et </w:t>
      </w:r>
      <w:r w:rsidR="367AEEFB" w:rsidRPr="6BEB91E7">
        <w:rPr>
          <w:rFonts w:asciiTheme="minorHAnsi" w:hAnsiTheme="minorHAnsi" w:cstheme="minorBidi"/>
          <w:sz w:val="24"/>
          <w:szCs w:val="24"/>
        </w:rPr>
        <w:t>le gearing</w:t>
      </w:r>
      <w:r w:rsidR="06D5C94C" w:rsidRPr="6BEB91E7">
        <w:rPr>
          <w:rFonts w:asciiTheme="minorHAnsi" w:hAnsiTheme="minorHAnsi" w:cstheme="minorBidi"/>
          <w:sz w:val="24"/>
          <w:szCs w:val="24"/>
        </w:rPr>
        <w:t xml:space="preserve"> </w:t>
      </w:r>
      <w:r w:rsidR="00AB4836">
        <w:rPr>
          <w:rFonts w:asciiTheme="minorHAnsi" w:hAnsiTheme="minorHAnsi" w:cstheme="minorBidi"/>
          <w:sz w:val="24"/>
          <w:szCs w:val="24"/>
        </w:rPr>
        <w:t>s’améliore à nouveau</w:t>
      </w:r>
      <w:r w:rsidR="06D5C94C" w:rsidRPr="6BEB91E7">
        <w:rPr>
          <w:rFonts w:asciiTheme="minorHAnsi" w:hAnsiTheme="minorHAnsi" w:cstheme="minorBidi"/>
          <w:sz w:val="24"/>
          <w:szCs w:val="24"/>
        </w:rPr>
        <w:t xml:space="preserve"> malgré la hausse d’activité</w:t>
      </w:r>
      <w:r w:rsidR="54846048" w:rsidRPr="6BEB91E7">
        <w:rPr>
          <w:rFonts w:asciiTheme="minorHAnsi" w:hAnsiTheme="minorHAnsi" w:cstheme="minorBidi"/>
          <w:sz w:val="24"/>
          <w:szCs w:val="24"/>
        </w:rPr>
        <w:t>.</w:t>
      </w:r>
      <w:r w:rsidR="36BE2A95" w:rsidRPr="6BEB91E7">
        <w:rPr>
          <w:rFonts w:asciiTheme="minorHAnsi" w:hAnsiTheme="minorHAnsi" w:cstheme="minorBidi"/>
          <w:sz w:val="24"/>
          <w:szCs w:val="24"/>
        </w:rPr>
        <w:t xml:space="preserve"> L’exercice fiscal 2025-2026 démarre sur une dynamique positive, ce qui nous rend confiants pour </w:t>
      </w:r>
      <w:r w:rsidR="00D71578">
        <w:rPr>
          <w:rFonts w:asciiTheme="minorHAnsi" w:hAnsiTheme="minorHAnsi" w:cstheme="minorBidi"/>
          <w:sz w:val="24"/>
          <w:szCs w:val="24"/>
        </w:rPr>
        <w:t>ce nouvel exercice</w:t>
      </w:r>
      <w:r w:rsidR="36BE2A95" w:rsidRPr="6BEB91E7">
        <w:rPr>
          <w:rFonts w:asciiTheme="minorHAnsi" w:hAnsiTheme="minorHAnsi" w:cstheme="minorBidi"/>
          <w:sz w:val="24"/>
          <w:szCs w:val="24"/>
        </w:rPr>
        <w:t>, en dépit</w:t>
      </w:r>
      <w:r w:rsidR="005677D2">
        <w:rPr>
          <w:rFonts w:asciiTheme="minorHAnsi" w:hAnsiTheme="minorHAnsi" w:cstheme="minorBidi"/>
          <w:sz w:val="24"/>
          <w:szCs w:val="24"/>
        </w:rPr>
        <w:t xml:space="preserve"> de l’incertitude </w:t>
      </w:r>
      <w:r w:rsidR="008E102C">
        <w:rPr>
          <w:rFonts w:asciiTheme="minorHAnsi" w:hAnsiTheme="minorHAnsi" w:cstheme="minorBidi"/>
          <w:sz w:val="24"/>
          <w:szCs w:val="24"/>
        </w:rPr>
        <w:t>élevée sur les droits de douane aux USA, qui pourrait marque un coup d’arrêt à notre développement sur ce territoire.</w:t>
      </w:r>
      <w:r w:rsidR="7CA2668F" w:rsidRPr="6BEB91E7">
        <w:rPr>
          <w:rFonts w:asciiTheme="minorHAnsi" w:hAnsiTheme="minorHAnsi" w:cstheme="minorBidi"/>
          <w:sz w:val="24"/>
          <w:szCs w:val="24"/>
        </w:rPr>
        <w:t xml:space="preserve"> </w:t>
      </w:r>
      <w:r w:rsidR="6730F040" w:rsidRPr="6BEB91E7">
        <w:rPr>
          <w:rFonts w:asciiTheme="minorHAnsi" w:hAnsiTheme="minorHAnsi" w:cstheme="minorBidi"/>
          <w:sz w:val="24"/>
          <w:szCs w:val="24"/>
        </w:rPr>
        <w:t>»</w:t>
      </w:r>
    </w:p>
    <w:tbl>
      <w:tblPr>
        <w:tblpPr w:leftFromText="141" w:rightFromText="141" w:vertAnchor="text" w:horzAnchor="margin" w:tblpXSpec="center" w:tblpY="238"/>
        <w:tblW w:w="10456" w:type="dxa"/>
        <w:tblCellMar>
          <w:top w:w="15" w:type="dxa"/>
          <w:left w:w="70" w:type="dxa"/>
          <w:bottom w:w="15" w:type="dxa"/>
          <w:right w:w="70" w:type="dxa"/>
        </w:tblCellMar>
        <w:tblLook w:val="04A0" w:firstRow="1" w:lastRow="0" w:firstColumn="1" w:lastColumn="0" w:noHBand="0" w:noVBand="1"/>
      </w:tblPr>
      <w:tblGrid>
        <w:gridCol w:w="3823"/>
        <w:gridCol w:w="1984"/>
        <w:gridCol w:w="1843"/>
        <w:gridCol w:w="2806"/>
      </w:tblGrid>
      <w:tr w:rsidR="00303708" w:rsidRPr="00303708" w14:paraId="754E2F4A" w14:textId="77777777" w:rsidTr="00303708">
        <w:trPr>
          <w:trHeight w:val="452"/>
        </w:trPr>
        <w:tc>
          <w:tcPr>
            <w:tcW w:w="3823"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48A4B08" w14:textId="77777777" w:rsidR="00303708" w:rsidRPr="00303708" w:rsidRDefault="00303708" w:rsidP="00303708">
            <w:pPr>
              <w:spacing w:after="0" w:line="240" w:lineRule="auto"/>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En K€</w:t>
            </w:r>
          </w:p>
        </w:tc>
        <w:tc>
          <w:tcPr>
            <w:tcW w:w="198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86D63B9" w14:textId="77777777" w:rsidR="00303708" w:rsidRPr="00303708" w:rsidRDefault="00303708" w:rsidP="00303708">
            <w:pPr>
              <w:spacing w:after="0" w:line="240" w:lineRule="auto"/>
              <w:jc w:val="center"/>
              <w:rPr>
                <w:rFonts w:ascii="Arial" w:eastAsia="Times New Roman" w:hAnsi="Arial" w:cs="Arial"/>
                <w:b/>
                <w:bCs/>
                <w:sz w:val="16"/>
                <w:szCs w:val="16"/>
                <w:lang w:eastAsia="fr-FR"/>
              </w:rPr>
            </w:pPr>
            <w:r w:rsidRPr="00303708">
              <w:rPr>
                <w:rFonts w:ascii="Arial" w:eastAsia="Times New Roman" w:hAnsi="Arial" w:cs="Arial"/>
                <w:b/>
                <w:bCs/>
                <w:sz w:val="16"/>
                <w:szCs w:val="16"/>
                <w:lang w:eastAsia="fr-FR"/>
              </w:rPr>
              <w:t>31 MARS 2025</w:t>
            </w:r>
          </w:p>
        </w:tc>
        <w:tc>
          <w:tcPr>
            <w:tcW w:w="184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9786AC" w14:textId="77777777" w:rsidR="00303708" w:rsidRPr="00303708" w:rsidRDefault="00303708" w:rsidP="00303708">
            <w:pPr>
              <w:spacing w:after="0" w:line="240" w:lineRule="auto"/>
              <w:jc w:val="center"/>
              <w:rPr>
                <w:rFonts w:ascii="Arial" w:eastAsia="Times New Roman" w:hAnsi="Arial" w:cs="Arial"/>
                <w:b/>
                <w:bCs/>
                <w:sz w:val="16"/>
                <w:szCs w:val="16"/>
                <w:lang w:eastAsia="fr-FR"/>
              </w:rPr>
            </w:pPr>
            <w:r w:rsidRPr="00303708">
              <w:rPr>
                <w:rFonts w:ascii="Arial" w:eastAsia="Times New Roman" w:hAnsi="Arial" w:cs="Arial"/>
                <w:b/>
                <w:bCs/>
                <w:sz w:val="16"/>
                <w:szCs w:val="16"/>
                <w:lang w:eastAsia="fr-FR"/>
              </w:rPr>
              <w:t>31 MARS 2024</w:t>
            </w:r>
          </w:p>
        </w:tc>
        <w:tc>
          <w:tcPr>
            <w:tcW w:w="2806" w:type="dxa"/>
            <w:tcBorders>
              <w:top w:val="single" w:sz="4" w:space="0" w:color="auto"/>
              <w:left w:val="nil"/>
              <w:bottom w:val="single" w:sz="4" w:space="0" w:color="auto"/>
              <w:right w:val="single" w:sz="4" w:space="0" w:color="auto"/>
            </w:tcBorders>
            <w:shd w:val="clear" w:color="000000" w:fill="D9D9D9"/>
            <w:vAlign w:val="center"/>
            <w:hideMark/>
          </w:tcPr>
          <w:p w14:paraId="0B1665DB" w14:textId="77777777" w:rsidR="00303708" w:rsidRPr="00303708" w:rsidRDefault="00303708" w:rsidP="00303708">
            <w:pPr>
              <w:spacing w:after="0" w:line="240" w:lineRule="auto"/>
              <w:jc w:val="center"/>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Variation %</w:t>
            </w:r>
          </w:p>
        </w:tc>
      </w:tr>
      <w:tr w:rsidR="00303708" w:rsidRPr="00303708" w14:paraId="759D11C1"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53791494"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Chiffre d'affaires net</w:t>
            </w:r>
          </w:p>
        </w:tc>
        <w:tc>
          <w:tcPr>
            <w:tcW w:w="1984" w:type="dxa"/>
            <w:tcBorders>
              <w:top w:val="nil"/>
              <w:left w:val="nil"/>
              <w:bottom w:val="nil"/>
              <w:right w:val="single" w:sz="4" w:space="0" w:color="auto"/>
            </w:tcBorders>
            <w:shd w:val="clear" w:color="000000" w:fill="FFFFFF"/>
            <w:noWrap/>
            <w:vAlign w:val="bottom"/>
            <w:hideMark/>
          </w:tcPr>
          <w:p w14:paraId="671764C7"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74 012</w:t>
            </w:r>
          </w:p>
        </w:tc>
        <w:tc>
          <w:tcPr>
            <w:tcW w:w="1843" w:type="dxa"/>
            <w:tcBorders>
              <w:top w:val="nil"/>
              <w:left w:val="single" w:sz="4" w:space="0" w:color="auto"/>
              <w:bottom w:val="nil"/>
              <w:right w:val="single" w:sz="4" w:space="0" w:color="auto"/>
            </w:tcBorders>
            <w:shd w:val="clear" w:color="000000" w:fill="FFFFFF"/>
            <w:noWrap/>
            <w:vAlign w:val="bottom"/>
            <w:hideMark/>
          </w:tcPr>
          <w:p w14:paraId="07821F88"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58 621</w:t>
            </w:r>
          </w:p>
        </w:tc>
        <w:tc>
          <w:tcPr>
            <w:tcW w:w="2806" w:type="dxa"/>
            <w:tcBorders>
              <w:top w:val="nil"/>
              <w:left w:val="single" w:sz="4" w:space="0" w:color="auto"/>
              <w:bottom w:val="nil"/>
              <w:right w:val="single" w:sz="4" w:space="0" w:color="auto"/>
            </w:tcBorders>
            <w:shd w:val="clear" w:color="000000" w:fill="FFFFFF"/>
            <w:noWrap/>
            <w:vAlign w:val="bottom"/>
            <w:hideMark/>
          </w:tcPr>
          <w:p w14:paraId="260053D6"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26,3%</w:t>
            </w:r>
          </w:p>
        </w:tc>
      </w:tr>
      <w:tr w:rsidR="00303708" w:rsidRPr="00303708" w14:paraId="7699052D"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25BF113A"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Coûts d'achat des produits vendus</w:t>
            </w:r>
          </w:p>
        </w:tc>
        <w:tc>
          <w:tcPr>
            <w:tcW w:w="1984" w:type="dxa"/>
            <w:tcBorders>
              <w:top w:val="nil"/>
              <w:left w:val="nil"/>
              <w:bottom w:val="nil"/>
              <w:right w:val="single" w:sz="4" w:space="0" w:color="auto"/>
            </w:tcBorders>
            <w:shd w:val="clear" w:color="000000" w:fill="FFFFFF"/>
            <w:noWrap/>
            <w:vAlign w:val="bottom"/>
            <w:hideMark/>
          </w:tcPr>
          <w:p w14:paraId="2E049824"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-29 455</w:t>
            </w:r>
          </w:p>
        </w:tc>
        <w:tc>
          <w:tcPr>
            <w:tcW w:w="1843" w:type="dxa"/>
            <w:tcBorders>
              <w:top w:val="nil"/>
              <w:left w:val="single" w:sz="4" w:space="0" w:color="auto"/>
              <w:bottom w:val="nil"/>
              <w:right w:val="single" w:sz="4" w:space="0" w:color="auto"/>
            </w:tcBorders>
            <w:shd w:val="clear" w:color="000000" w:fill="FFFFFF"/>
            <w:noWrap/>
            <w:vAlign w:val="bottom"/>
            <w:hideMark/>
          </w:tcPr>
          <w:p w14:paraId="014D6E28"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-23 535</w:t>
            </w:r>
          </w:p>
        </w:tc>
        <w:tc>
          <w:tcPr>
            <w:tcW w:w="2806" w:type="dxa"/>
            <w:tcBorders>
              <w:top w:val="nil"/>
              <w:left w:val="single" w:sz="4" w:space="0" w:color="auto"/>
              <w:bottom w:val="nil"/>
              <w:right w:val="single" w:sz="4" w:space="0" w:color="auto"/>
            </w:tcBorders>
            <w:shd w:val="clear" w:color="000000" w:fill="FFFFFF"/>
            <w:noWrap/>
            <w:vAlign w:val="bottom"/>
            <w:hideMark/>
          </w:tcPr>
          <w:p w14:paraId="1287962D"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25,2%</w:t>
            </w:r>
          </w:p>
        </w:tc>
      </w:tr>
      <w:tr w:rsidR="00303708" w:rsidRPr="00303708" w14:paraId="65B70733" w14:textId="77777777" w:rsidTr="00303708">
        <w:trPr>
          <w:trHeight w:val="301"/>
        </w:trPr>
        <w:tc>
          <w:tcPr>
            <w:tcW w:w="38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889F7" w14:textId="77777777" w:rsidR="00303708" w:rsidRPr="00303708" w:rsidRDefault="00303708" w:rsidP="00303708">
            <w:pPr>
              <w:spacing w:after="0" w:line="240" w:lineRule="auto"/>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Marge Brute</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3081BFA5"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44 557</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7CA1DA87"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35 086</w:t>
            </w:r>
          </w:p>
        </w:tc>
        <w:tc>
          <w:tcPr>
            <w:tcW w:w="2806" w:type="dxa"/>
            <w:tcBorders>
              <w:top w:val="single" w:sz="4" w:space="0" w:color="auto"/>
              <w:left w:val="nil"/>
              <w:bottom w:val="single" w:sz="4" w:space="0" w:color="auto"/>
              <w:right w:val="single" w:sz="4" w:space="0" w:color="auto"/>
            </w:tcBorders>
            <w:shd w:val="clear" w:color="000000" w:fill="FFFFFF"/>
            <w:noWrap/>
            <w:vAlign w:val="bottom"/>
            <w:hideMark/>
          </w:tcPr>
          <w:p w14:paraId="68497915"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27,0%</w:t>
            </w:r>
          </w:p>
        </w:tc>
      </w:tr>
      <w:tr w:rsidR="00303708" w:rsidRPr="00303708" w14:paraId="38B1BEB6"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399C10EF"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Services Extérieurs</w:t>
            </w:r>
          </w:p>
        </w:tc>
        <w:tc>
          <w:tcPr>
            <w:tcW w:w="1984" w:type="dxa"/>
            <w:tcBorders>
              <w:top w:val="nil"/>
              <w:left w:val="nil"/>
              <w:bottom w:val="nil"/>
              <w:right w:val="single" w:sz="4" w:space="0" w:color="auto"/>
            </w:tcBorders>
            <w:shd w:val="clear" w:color="000000" w:fill="FFFFFF"/>
            <w:noWrap/>
            <w:vAlign w:val="bottom"/>
            <w:hideMark/>
          </w:tcPr>
          <w:p w14:paraId="33427FC2"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-22 400</w:t>
            </w:r>
          </w:p>
        </w:tc>
        <w:tc>
          <w:tcPr>
            <w:tcW w:w="1843" w:type="dxa"/>
            <w:tcBorders>
              <w:top w:val="nil"/>
              <w:left w:val="single" w:sz="4" w:space="0" w:color="auto"/>
              <w:bottom w:val="nil"/>
              <w:right w:val="single" w:sz="4" w:space="0" w:color="auto"/>
            </w:tcBorders>
            <w:shd w:val="clear" w:color="000000" w:fill="FFFFFF"/>
            <w:noWrap/>
            <w:vAlign w:val="bottom"/>
            <w:hideMark/>
          </w:tcPr>
          <w:p w14:paraId="192C14A3"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-17 374</w:t>
            </w:r>
          </w:p>
        </w:tc>
        <w:tc>
          <w:tcPr>
            <w:tcW w:w="2806" w:type="dxa"/>
            <w:tcBorders>
              <w:top w:val="nil"/>
              <w:left w:val="single" w:sz="4" w:space="0" w:color="auto"/>
              <w:bottom w:val="nil"/>
              <w:right w:val="single" w:sz="4" w:space="0" w:color="auto"/>
            </w:tcBorders>
            <w:shd w:val="clear" w:color="000000" w:fill="FFFFFF"/>
            <w:noWrap/>
            <w:vAlign w:val="bottom"/>
            <w:hideMark/>
          </w:tcPr>
          <w:p w14:paraId="4B207EEA"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28,9%</w:t>
            </w:r>
          </w:p>
        </w:tc>
      </w:tr>
      <w:tr w:rsidR="00303708" w:rsidRPr="00303708" w14:paraId="76206396"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15EE0E95"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Taxes (hors impôt société)</w:t>
            </w:r>
          </w:p>
        </w:tc>
        <w:tc>
          <w:tcPr>
            <w:tcW w:w="1984" w:type="dxa"/>
            <w:tcBorders>
              <w:top w:val="nil"/>
              <w:left w:val="nil"/>
              <w:bottom w:val="nil"/>
              <w:right w:val="single" w:sz="4" w:space="0" w:color="auto"/>
            </w:tcBorders>
            <w:shd w:val="clear" w:color="000000" w:fill="FFFFFF"/>
            <w:noWrap/>
            <w:vAlign w:val="bottom"/>
            <w:hideMark/>
          </w:tcPr>
          <w:p w14:paraId="68B22206"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-58</w:t>
            </w:r>
          </w:p>
        </w:tc>
        <w:tc>
          <w:tcPr>
            <w:tcW w:w="1843" w:type="dxa"/>
            <w:tcBorders>
              <w:top w:val="nil"/>
              <w:left w:val="single" w:sz="4" w:space="0" w:color="auto"/>
              <w:bottom w:val="nil"/>
              <w:right w:val="single" w:sz="4" w:space="0" w:color="auto"/>
            </w:tcBorders>
            <w:shd w:val="clear" w:color="000000" w:fill="FFFFFF"/>
            <w:noWrap/>
            <w:vAlign w:val="bottom"/>
            <w:hideMark/>
          </w:tcPr>
          <w:p w14:paraId="14D02D5A"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-25</w:t>
            </w:r>
          </w:p>
        </w:tc>
        <w:tc>
          <w:tcPr>
            <w:tcW w:w="2806" w:type="dxa"/>
            <w:tcBorders>
              <w:top w:val="nil"/>
              <w:left w:val="single" w:sz="4" w:space="0" w:color="auto"/>
              <w:bottom w:val="nil"/>
              <w:right w:val="single" w:sz="4" w:space="0" w:color="auto"/>
            </w:tcBorders>
            <w:shd w:val="clear" w:color="000000" w:fill="FFFFFF"/>
            <w:noWrap/>
            <w:vAlign w:val="bottom"/>
            <w:hideMark/>
          </w:tcPr>
          <w:p w14:paraId="1168A220"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134,4%</w:t>
            </w:r>
          </w:p>
        </w:tc>
      </w:tr>
      <w:tr w:rsidR="00303708" w:rsidRPr="00303708" w14:paraId="42EEC162"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53997A03"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Dépenses de personnel</w:t>
            </w:r>
          </w:p>
        </w:tc>
        <w:tc>
          <w:tcPr>
            <w:tcW w:w="1984" w:type="dxa"/>
            <w:tcBorders>
              <w:top w:val="nil"/>
              <w:left w:val="nil"/>
              <w:bottom w:val="nil"/>
              <w:right w:val="single" w:sz="4" w:space="0" w:color="auto"/>
            </w:tcBorders>
            <w:shd w:val="clear" w:color="000000" w:fill="FFFFFF"/>
            <w:noWrap/>
            <w:vAlign w:val="bottom"/>
            <w:hideMark/>
          </w:tcPr>
          <w:p w14:paraId="41EA9D21"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-6 713</w:t>
            </w:r>
          </w:p>
        </w:tc>
        <w:tc>
          <w:tcPr>
            <w:tcW w:w="1843" w:type="dxa"/>
            <w:tcBorders>
              <w:top w:val="nil"/>
              <w:left w:val="single" w:sz="4" w:space="0" w:color="auto"/>
              <w:bottom w:val="nil"/>
              <w:right w:val="single" w:sz="4" w:space="0" w:color="auto"/>
            </w:tcBorders>
            <w:shd w:val="clear" w:color="000000" w:fill="FFFFFF"/>
            <w:noWrap/>
            <w:vAlign w:val="bottom"/>
            <w:hideMark/>
          </w:tcPr>
          <w:p w14:paraId="609AE53C"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-6 185</w:t>
            </w:r>
          </w:p>
        </w:tc>
        <w:tc>
          <w:tcPr>
            <w:tcW w:w="2806" w:type="dxa"/>
            <w:tcBorders>
              <w:top w:val="nil"/>
              <w:left w:val="single" w:sz="4" w:space="0" w:color="auto"/>
              <w:bottom w:val="nil"/>
              <w:right w:val="single" w:sz="4" w:space="0" w:color="auto"/>
            </w:tcBorders>
            <w:shd w:val="clear" w:color="000000" w:fill="FFFFFF"/>
            <w:noWrap/>
            <w:vAlign w:val="bottom"/>
            <w:hideMark/>
          </w:tcPr>
          <w:p w14:paraId="31591E5E"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8,5%</w:t>
            </w:r>
          </w:p>
        </w:tc>
      </w:tr>
      <w:tr w:rsidR="00303708" w:rsidRPr="00303708" w14:paraId="22B9FCF5" w14:textId="77777777" w:rsidTr="00303708">
        <w:trPr>
          <w:trHeight w:val="301"/>
        </w:trPr>
        <w:tc>
          <w:tcPr>
            <w:tcW w:w="3823" w:type="dxa"/>
            <w:tcBorders>
              <w:top w:val="nil"/>
              <w:left w:val="single" w:sz="4" w:space="0" w:color="auto"/>
              <w:bottom w:val="single" w:sz="4" w:space="0" w:color="auto"/>
              <w:right w:val="single" w:sz="4" w:space="0" w:color="auto"/>
            </w:tcBorders>
            <w:shd w:val="clear" w:color="000000" w:fill="FFFFFF"/>
            <w:noWrap/>
            <w:vAlign w:val="bottom"/>
            <w:hideMark/>
          </w:tcPr>
          <w:p w14:paraId="5C7DA025"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Autres produits et charges d'exploitation</w:t>
            </w:r>
          </w:p>
        </w:tc>
        <w:tc>
          <w:tcPr>
            <w:tcW w:w="1984" w:type="dxa"/>
            <w:tcBorders>
              <w:top w:val="nil"/>
              <w:left w:val="nil"/>
              <w:bottom w:val="single" w:sz="4" w:space="0" w:color="auto"/>
              <w:right w:val="single" w:sz="4" w:space="0" w:color="auto"/>
            </w:tcBorders>
            <w:shd w:val="clear" w:color="000000" w:fill="FFFFFF"/>
            <w:noWrap/>
            <w:vAlign w:val="bottom"/>
            <w:hideMark/>
          </w:tcPr>
          <w:p w14:paraId="5A759996"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-7 288</w:t>
            </w:r>
          </w:p>
        </w:tc>
        <w:tc>
          <w:tcPr>
            <w:tcW w:w="1843" w:type="dxa"/>
            <w:tcBorders>
              <w:top w:val="nil"/>
              <w:left w:val="single" w:sz="4" w:space="0" w:color="auto"/>
              <w:bottom w:val="single" w:sz="4" w:space="0" w:color="auto"/>
              <w:right w:val="single" w:sz="4" w:space="0" w:color="auto"/>
            </w:tcBorders>
            <w:shd w:val="clear" w:color="000000" w:fill="FFFFFF"/>
            <w:noWrap/>
            <w:vAlign w:val="bottom"/>
            <w:hideMark/>
          </w:tcPr>
          <w:p w14:paraId="6C91E9C7"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-5 551</w:t>
            </w:r>
          </w:p>
        </w:tc>
        <w:tc>
          <w:tcPr>
            <w:tcW w:w="2806" w:type="dxa"/>
            <w:tcBorders>
              <w:top w:val="nil"/>
              <w:left w:val="single" w:sz="4" w:space="0" w:color="auto"/>
              <w:bottom w:val="nil"/>
              <w:right w:val="single" w:sz="4" w:space="0" w:color="auto"/>
            </w:tcBorders>
            <w:shd w:val="clear" w:color="000000" w:fill="FFFFFF"/>
            <w:noWrap/>
            <w:vAlign w:val="bottom"/>
            <w:hideMark/>
          </w:tcPr>
          <w:p w14:paraId="34C272C7"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31,3%</w:t>
            </w:r>
          </w:p>
        </w:tc>
      </w:tr>
      <w:tr w:rsidR="00303708" w:rsidRPr="00303708" w14:paraId="52C799EB" w14:textId="77777777" w:rsidTr="00303708">
        <w:trPr>
          <w:trHeight w:val="301"/>
        </w:trPr>
        <w:tc>
          <w:tcPr>
            <w:tcW w:w="38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A137A" w14:textId="77777777" w:rsidR="00303708" w:rsidRPr="00303708" w:rsidRDefault="00303708" w:rsidP="00303708">
            <w:pPr>
              <w:spacing w:after="0" w:line="240" w:lineRule="auto"/>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 xml:space="preserve">Résultat d'exploitation </w:t>
            </w:r>
          </w:p>
        </w:tc>
        <w:tc>
          <w:tcPr>
            <w:tcW w:w="19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3A0C4E"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8 098</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6F622"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5 951</w:t>
            </w:r>
          </w:p>
        </w:tc>
        <w:tc>
          <w:tcPr>
            <w:tcW w:w="2806" w:type="dxa"/>
            <w:tcBorders>
              <w:top w:val="single" w:sz="4" w:space="0" w:color="auto"/>
              <w:left w:val="nil"/>
              <w:bottom w:val="single" w:sz="4" w:space="0" w:color="auto"/>
              <w:right w:val="single" w:sz="4" w:space="0" w:color="auto"/>
            </w:tcBorders>
            <w:shd w:val="clear" w:color="000000" w:fill="FFFFFF"/>
            <w:noWrap/>
            <w:vAlign w:val="bottom"/>
            <w:hideMark/>
          </w:tcPr>
          <w:p w14:paraId="2B4D627A"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36,1%</w:t>
            </w:r>
          </w:p>
        </w:tc>
      </w:tr>
      <w:tr w:rsidR="00303708" w:rsidRPr="00303708" w14:paraId="3CC3D2B8" w14:textId="77777777" w:rsidTr="00303708">
        <w:trPr>
          <w:trHeight w:val="301"/>
        </w:trPr>
        <w:tc>
          <w:tcPr>
            <w:tcW w:w="38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689DAB" w14:textId="77777777" w:rsidR="00303708" w:rsidRPr="00303708" w:rsidRDefault="00303708" w:rsidP="00303708">
            <w:pPr>
              <w:spacing w:after="0" w:line="240" w:lineRule="auto"/>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EBITDA</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1E758609"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9 721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3C3BD"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7 459</w:t>
            </w:r>
          </w:p>
        </w:tc>
        <w:tc>
          <w:tcPr>
            <w:tcW w:w="2806" w:type="dxa"/>
            <w:tcBorders>
              <w:top w:val="single" w:sz="4" w:space="0" w:color="auto"/>
              <w:left w:val="nil"/>
              <w:bottom w:val="single" w:sz="4" w:space="0" w:color="auto"/>
              <w:right w:val="single" w:sz="4" w:space="0" w:color="auto"/>
            </w:tcBorders>
            <w:shd w:val="clear" w:color="000000" w:fill="FFFFFF"/>
            <w:noWrap/>
            <w:vAlign w:val="bottom"/>
            <w:hideMark/>
          </w:tcPr>
          <w:p w14:paraId="2E98F38A"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30,3%</w:t>
            </w:r>
          </w:p>
        </w:tc>
      </w:tr>
      <w:tr w:rsidR="00303708" w:rsidRPr="00303708" w14:paraId="74DE3E96"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3F77B1AA"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Coût de l'endettement net</w:t>
            </w:r>
          </w:p>
        </w:tc>
        <w:tc>
          <w:tcPr>
            <w:tcW w:w="1984" w:type="dxa"/>
            <w:tcBorders>
              <w:top w:val="nil"/>
              <w:left w:val="nil"/>
              <w:bottom w:val="nil"/>
              <w:right w:val="single" w:sz="4" w:space="0" w:color="auto"/>
            </w:tcBorders>
            <w:shd w:val="clear" w:color="000000" w:fill="FFFFFF"/>
            <w:noWrap/>
            <w:vAlign w:val="bottom"/>
            <w:hideMark/>
          </w:tcPr>
          <w:p w14:paraId="6DE791E9"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-305</w:t>
            </w:r>
          </w:p>
        </w:tc>
        <w:tc>
          <w:tcPr>
            <w:tcW w:w="1843" w:type="dxa"/>
            <w:tcBorders>
              <w:top w:val="nil"/>
              <w:left w:val="single" w:sz="4" w:space="0" w:color="auto"/>
              <w:bottom w:val="nil"/>
              <w:right w:val="single" w:sz="4" w:space="0" w:color="auto"/>
            </w:tcBorders>
            <w:shd w:val="clear" w:color="000000" w:fill="FFFFFF"/>
            <w:noWrap/>
            <w:vAlign w:val="bottom"/>
            <w:hideMark/>
          </w:tcPr>
          <w:p w14:paraId="67D5789A"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-462</w:t>
            </w:r>
          </w:p>
        </w:tc>
        <w:tc>
          <w:tcPr>
            <w:tcW w:w="2806" w:type="dxa"/>
            <w:tcBorders>
              <w:top w:val="nil"/>
              <w:left w:val="single" w:sz="4" w:space="0" w:color="auto"/>
              <w:bottom w:val="nil"/>
              <w:right w:val="single" w:sz="4" w:space="0" w:color="auto"/>
            </w:tcBorders>
            <w:shd w:val="clear" w:color="000000" w:fill="FFFFFF"/>
            <w:noWrap/>
            <w:vAlign w:val="bottom"/>
            <w:hideMark/>
          </w:tcPr>
          <w:p w14:paraId="03808796"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-34,0%</w:t>
            </w:r>
          </w:p>
        </w:tc>
      </w:tr>
      <w:tr w:rsidR="00303708" w:rsidRPr="00303708" w14:paraId="2ABEBCC9"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0D13EA12" w14:textId="77777777" w:rsidR="00303708" w:rsidRPr="00303708" w:rsidRDefault="00303708" w:rsidP="00303708">
            <w:pPr>
              <w:spacing w:after="0" w:line="240" w:lineRule="auto"/>
              <w:rPr>
                <w:rFonts w:ascii="Arial" w:eastAsia="Times New Roman" w:hAnsi="Arial" w:cs="Arial"/>
                <w:sz w:val="20"/>
                <w:szCs w:val="20"/>
                <w:lang w:eastAsia="fr-FR"/>
              </w:rPr>
            </w:pPr>
            <w:proofErr w:type="spellStart"/>
            <w:r w:rsidRPr="00303708">
              <w:rPr>
                <w:rFonts w:ascii="Arial" w:eastAsia="Times New Roman" w:hAnsi="Arial" w:cs="Arial"/>
                <w:sz w:val="20"/>
                <w:szCs w:val="20"/>
                <w:lang w:eastAsia="fr-FR"/>
              </w:rPr>
              <w:t>interets</w:t>
            </w:r>
            <w:proofErr w:type="spellEnd"/>
            <w:r w:rsidRPr="00303708">
              <w:rPr>
                <w:rFonts w:ascii="Arial" w:eastAsia="Times New Roman" w:hAnsi="Arial" w:cs="Arial"/>
                <w:sz w:val="20"/>
                <w:szCs w:val="20"/>
                <w:lang w:eastAsia="fr-FR"/>
              </w:rPr>
              <w:t xml:space="preserve"> nets relatifs aux contrats de location</w:t>
            </w:r>
          </w:p>
        </w:tc>
        <w:tc>
          <w:tcPr>
            <w:tcW w:w="1984" w:type="dxa"/>
            <w:tcBorders>
              <w:top w:val="nil"/>
              <w:left w:val="nil"/>
              <w:bottom w:val="nil"/>
              <w:right w:val="single" w:sz="4" w:space="0" w:color="auto"/>
            </w:tcBorders>
            <w:shd w:val="clear" w:color="000000" w:fill="FFFFFF"/>
            <w:noWrap/>
            <w:vAlign w:val="bottom"/>
            <w:hideMark/>
          </w:tcPr>
          <w:p w14:paraId="50076577"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-24</w:t>
            </w:r>
          </w:p>
        </w:tc>
        <w:tc>
          <w:tcPr>
            <w:tcW w:w="1843" w:type="dxa"/>
            <w:tcBorders>
              <w:top w:val="nil"/>
              <w:left w:val="single" w:sz="4" w:space="0" w:color="auto"/>
              <w:bottom w:val="nil"/>
              <w:right w:val="single" w:sz="4" w:space="0" w:color="auto"/>
            </w:tcBorders>
            <w:shd w:val="clear" w:color="000000" w:fill="FFFFFF"/>
            <w:noWrap/>
            <w:vAlign w:val="bottom"/>
            <w:hideMark/>
          </w:tcPr>
          <w:p w14:paraId="46CC7786"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-20</w:t>
            </w:r>
          </w:p>
        </w:tc>
        <w:tc>
          <w:tcPr>
            <w:tcW w:w="2806" w:type="dxa"/>
            <w:tcBorders>
              <w:top w:val="nil"/>
              <w:left w:val="single" w:sz="4" w:space="0" w:color="auto"/>
              <w:bottom w:val="nil"/>
              <w:right w:val="single" w:sz="4" w:space="0" w:color="auto"/>
            </w:tcBorders>
            <w:shd w:val="clear" w:color="000000" w:fill="FFFFFF"/>
            <w:noWrap/>
            <w:vAlign w:val="bottom"/>
            <w:hideMark/>
          </w:tcPr>
          <w:p w14:paraId="2D121BBC"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19,8%</w:t>
            </w:r>
          </w:p>
        </w:tc>
      </w:tr>
      <w:tr w:rsidR="00303708" w:rsidRPr="00303708" w14:paraId="6B86E9AF" w14:textId="77777777" w:rsidTr="00303708">
        <w:trPr>
          <w:trHeight w:val="301"/>
        </w:trPr>
        <w:tc>
          <w:tcPr>
            <w:tcW w:w="3823" w:type="dxa"/>
            <w:tcBorders>
              <w:top w:val="nil"/>
              <w:left w:val="single" w:sz="4" w:space="0" w:color="auto"/>
              <w:bottom w:val="nil"/>
              <w:right w:val="single" w:sz="4" w:space="0" w:color="auto"/>
            </w:tcBorders>
            <w:shd w:val="clear" w:color="000000" w:fill="FFFFFF"/>
            <w:vAlign w:val="center"/>
            <w:hideMark/>
          </w:tcPr>
          <w:p w14:paraId="725D3B6A"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Autres produits et charges financiers</w:t>
            </w:r>
          </w:p>
        </w:tc>
        <w:tc>
          <w:tcPr>
            <w:tcW w:w="1984" w:type="dxa"/>
            <w:tcBorders>
              <w:top w:val="nil"/>
              <w:left w:val="nil"/>
              <w:bottom w:val="nil"/>
              <w:right w:val="single" w:sz="4" w:space="0" w:color="auto"/>
            </w:tcBorders>
            <w:shd w:val="clear" w:color="000000" w:fill="FFFFFF"/>
            <w:vAlign w:val="bottom"/>
            <w:hideMark/>
          </w:tcPr>
          <w:p w14:paraId="7DBD4DE3"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562</w:t>
            </w:r>
          </w:p>
        </w:tc>
        <w:tc>
          <w:tcPr>
            <w:tcW w:w="1843" w:type="dxa"/>
            <w:tcBorders>
              <w:top w:val="nil"/>
              <w:left w:val="single" w:sz="4" w:space="0" w:color="auto"/>
              <w:bottom w:val="nil"/>
              <w:right w:val="single" w:sz="4" w:space="0" w:color="auto"/>
            </w:tcBorders>
            <w:shd w:val="clear" w:color="000000" w:fill="FFFFFF"/>
            <w:noWrap/>
            <w:vAlign w:val="bottom"/>
            <w:hideMark/>
          </w:tcPr>
          <w:p w14:paraId="6261EB62"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296</w:t>
            </w:r>
          </w:p>
        </w:tc>
        <w:tc>
          <w:tcPr>
            <w:tcW w:w="2806" w:type="dxa"/>
            <w:tcBorders>
              <w:top w:val="nil"/>
              <w:left w:val="single" w:sz="4" w:space="0" w:color="auto"/>
              <w:bottom w:val="nil"/>
              <w:right w:val="single" w:sz="4" w:space="0" w:color="auto"/>
            </w:tcBorders>
            <w:shd w:val="clear" w:color="000000" w:fill="FFFFFF"/>
            <w:noWrap/>
            <w:vAlign w:val="bottom"/>
            <w:hideMark/>
          </w:tcPr>
          <w:p w14:paraId="618FFA6C"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90,0%</w:t>
            </w:r>
          </w:p>
        </w:tc>
      </w:tr>
      <w:tr w:rsidR="00303708" w:rsidRPr="00303708" w14:paraId="5532008D" w14:textId="77777777" w:rsidTr="00303708">
        <w:trPr>
          <w:trHeight w:val="301"/>
        </w:trPr>
        <w:tc>
          <w:tcPr>
            <w:tcW w:w="38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FC05B" w14:textId="77777777" w:rsidR="00303708" w:rsidRPr="00303708" w:rsidRDefault="00303708" w:rsidP="00303708">
            <w:pPr>
              <w:spacing w:after="0" w:line="240" w:lineRule="auto"/>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Résultat financier</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24433E8C"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233</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42C35262"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-186</w:t>
            </w:r>
          </w:p>
        </w:tc>
        <w:tc>
          <w:tcPr>
            <w:tcW w:w="2806" w:type="dxa"/>
            <w:tcBorders>
              <w:top w:val="single" w:sz="4" w:space="0" w:color="auto"/>
              <w:left w:val="nil"/>
              <w:bottom w:val="single" w:sz="4" w:space="0" w:color="auto"/>
              <w:right w:val="single" w:sz="4" w:space="0" w:color="auto"/>
            </w:tcBorders>
            <w:shd w:val="clear" w:color="000000" w:fill="FFFFFF"/>
            <w:noWrap/>
            <w:vAlign w:val="bottom"/>
            <w:hideMark/>
          </w:tcPr>
          <w:p w14:paraId="5A3C450E"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-224,8%</w:t>
            </w:r>
          </w:p>
        </w:tc>
      </w:tr>
      <w:tr w:rsidR="00303708" w:rsidRPr="00303708" w14:paraId="15A7E0A1" w14:textId="77777777" w:rsidTr="00303708">
        <w:trPr>
          <w:trHeight w:val="301"/>
        </w:trPr>
        <w:tc>
          <w:tcPr>
            <w:tcW w:w="38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C1296" w14:textId="77777777" w:rsidR="00303708" w:rsidRPr="00303708" w:rsidRDefault="00303708" w:rsidP="00303708">
            <w:pPr>
              <w:spacing w:after="0" w:line="240" w:lineRule="auto"/>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Résultat Courant avant impôt</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5371FDE0"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8 331</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14:paraId="57255E1A"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5 765</w:t>
            </w:r>
          </w:p>
        </w:tc>
        <w:tc>
          <w:tcPr>
            <w:tcW w:w="2806" w:type="dxa"/>
            <w:tcBorders>
              <w:top w:val="single" w:sz="4" w:space="0" w:color="auto"/>
              <w:left w:val="nil"/>
              <w:bottom w:val="single" w:sz="4" w:space="0" w:color="auto"/>
              <w:right w:val="single" w:sz="4" w:space="0" w:color="auto"/>
            </w:tcBorders>
            <w:shd w:val="clear" w:color="000000" w:fill="FFFFFF"/>
            <w:noWrap/>
            <w:vAlign w:val="bottom"/>
            <w:hideMark/>
          </w:tcPr>
          <w:p w14:paraId="4F980295"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44,5%</w:t>
            </w:r>
          </w:p>
        </w:tc>
      </w:tr>
      <w:tr w:rsidR="00303708" w:rsidRPr="00303708" w14:paraId="2397F896" w14:textId="77777777" w:rsidTr="00303708">
        <w:trPr>
          <w:trHeight w:val="301"/>
        </w:trPr>
        <w:tc>
          <w:tcPr>
            <w:tcW w:w="3823" w:type="dxa"/>
            <w:tcBorders>
              <w:top w:val="nil"/>
              <w:left w:val="single" w:sz="4" w:space="0" w:color="auto"/>
              <w:bottom w:val="nil"/>
              <w:right w:val="single" w:sz="4" w:space="0" w:color="auto"/>
            </w:tcBorders>
            <w:shd w:val="clear" w:color="000000" w:fill="FFFFFF"/>
            <w:noWrap/>
            <w:vAlign w:val="bottom"/>
            <w:hideMark/>
          </w:tcPr>
          <w:p w14:paraId="64613370" w14:textId="77777777" w:rsidR="00303708" w:rsidRPr="00303708" w:rsidRDefault="00303708" w:rsidP="00303708">
            <w:pPr>
              <w:spacing w:after="0" w:line="240" w:lineRule="auto"/>
              <w:rPr>
                <w:rFonts w:ascii="Arial" w:eastAsia="Times New Roman" w:hAnsi="Arial" w:cs="Arial"/>
                <w:sz w:val="20"/>
                <w:szCs w:val="20"/>
                <w:lang w:eastAsia="fr-FR"/>
              </w:rPr>
            </w:pPr>
            <w:r w:rsidRPr="00303708">
              <w:rPr>
                <w:rFonts w:ascii="Arial" w:eastAsia="Times New Roman" w:hAnsi="Arial" w:cs="Arial"/>
                <w:sz w:val="20"/>
                <w:szCs w:val="20"/>
                <w:lang w:eastAsia="fr-FR"/>
              </w:rPr>
              <w:t>Impôt sur le résultat</w:t>
            </w:r>
          </w:p>
        </w:tc>
        <w:tc>
          <w:tcPr>
            <w:tcW w:w="1984" w:type="dxa"/>
            <w:tcBorders>
              <w:top w:val="nil"/>
              <w:left w:val="nil"/>
              <w:bottom w:val="nil"/>
              <w:right w:val="single" w:sz="4" w:space="0" w:color="auto"/>
            </w:tcBorders>
            <w:shd w:val="clear" w:color="000000" w:fill="FFFFFF"/>
            <w:noWrap/>
            <w:vAlign w:val="bottom"/>
            <w:hideMark/>
          </w:tcPr>
          <w:p w14:paraId="7FFF3D4E"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-959</w:t>
            </w:r>
          </w:p>
        </w:tc>
        <w:tc>
          <w:tcPr>
            <w:tcW w:w="1843" w:type="dxa"/>
            <w:tcBorders>
              <w:top w:val="single" w:sz="4" w:space="0" w:color="auto"/>
              <w:left w:val="single" w:sz="4" w:space="0" w:color="auto"/>
              <w:bottom w:val="nil"/>
              <w:right w:val="single" w:sz="4" w:space="0" w:color="auto"/>
            </w:tcBorders>
            <w:shd w:val="clear" w:color="000000" w:fill="FFFFFF"/>
            <w:noWrap/>
            <w:vAlign w:val="bottom"/>
            <w:hideMark/>
          </w:tcPr>
          <w:p w14:paraId="7DDFCF92" w14:textId="77777777" w:rsidR="00303708" w:rsidRPr="00303708" w:rsidRDefault="00303708" w:rsidP="00303708">
            <w:pPr>
              <w:spacing w:after="0" w:line="240" w:lineRule="auto"/>
              <w:jc w:val="right"/>
              <w:rPr>
                <w:rFonts w:ascii="Arial" w:eastAsia="Times New Roman" w:hAnsi="Arial" w:cs="Arial"/>
                <w:sz w:val="20"/>
                <w:szCs w:val="20"/>
                <w:lang w:eastAsia="fr-FR"/>
              </w:rPr>
            </w:pPr>
            <w:r w:rsidRPr="00303708">
              <w:rPr>
                <w:rFonts w:ascii="Arial" w:eastAsia="Times New Roman" w:hAnsi="Arial" w:cs="Arial"/>
                <w:sz w:val="20"/>
                <w:szCs w:val="20"/>
                <w:lang w:eastAsia="fr-FR"/>
              </w:rPr>
              <w:t>-773</w:t>
            </w:r>
          </w:p>
        </w:tc>
        <w:tc>
          <w:tcPr>
            <w:tcW w:w="2806" w:type="dxa"/>
            <w:tcBorders>
              <w:top w:val="nil"/>
              <w:left w:val="single" w:sz="4" w:space="0" w:color="auto"/>
              <w:bottom w:val="nil"/>
              <w:right w:val="single" w:sz="4" w:space="0" w:color="auto"/>
            </w:tcBorders>
            <w:shd w:val="clear" w:color="000000" w:fill="FFFFFF"/>
            <w:noWrap/>
            <w:vAlign w:val="bottom"/>
            <w:hideMark/>
          </w:tcPr>
          <w:p w14:paraId="0E2B0629" w14:textId="77777777" w:rsidR="00303708" w:rsidRPr="00303708" w:rsidRDefault="00303708" w:rsidP="00303708">
            <w:pPr>
              <w:spacing w:after="0" w:line="240" w:lineRule="auto"/>
              <w:jc w:val="right"/>
              <w:rPr>
                <w:rFonts w:ascii="Arial" w:eastAsia="Times New Roman" w:hAnsi="Arial" w:cs="Arial"/>
                <w:b/>
                <w:bCs/>
                <w:color w:val="808080"/>
                <w:sz w:val="16"/>
                <w:szCs w:val="16"/>
                <w:lang w:eastAsia="fr-FR"/>
              </w:rPr>
            </w:pPr>
            <w:r w:rsidRPr="00303708">
              <w:rPr>
                <w:rFonts w:ascii="Arial" w:eastAsia="Times New Roman" w:hAnsi="Arial" w:cs="Arial"/>
                <w:b/>
                <w:bCs/>
                <w:color w:val="808080"/>
                <w:sz w:val="16"/>
                <w:szCs w:val="16"/>
                <w:lang w:eastAsia="fr-FR"/>
              </w:rPr>
              <w:t>24,1%</w:t>
            </w:r>
          </w:p>
        </w:tc>
      </w:tr>
      <w:tr w:rsidR="00303708" w:rsidRPr="00303708" w14:paraId="5FD9882B" w14:textId="77777777" w:rsidTr="00303708">
        <w:trPr>
          <w:trHeight w:val="301"/>
        </w:trPr>
        <w:tc>
          <w:tcPr>
            <w:tcW w:w="38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853FB" w14:textId="77777777" w:rsidR="00303708" w:rsidRPr="00303708" w:rsidRDefault="00303708" w:rsidP="00303708">
            <w:pPr>
              <w:spacing w:after="0" w:line="240" w:lineRule="auto"/>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Résultat net</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14:paraId="5E2A9495"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7 372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92EE26"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4 992</w:t>
            </w:r>
          </w:p>
        </w:tc>
        <w:tc>
          <w:tcPr>
            <w:tcW w:w="2806" w:type="dxa"/>
            <w:tcBorders>
              <w:top w:val="single" w:sz="4" w:space="0" w:color="auto"/>
              <w:left w:val="nil"/>
              <w:bottom w:val="single" w:sz="4" w:space="0" w:color="auto"/>
              <w:right w:val="single" w:sz="4" w:space="0" w:color="auto"/>
            </w:tcBorders>
            <w:shd w:val="clear" w:color="000000" w:fill="FFFFFF"/>
            <w:noWrap/>
            <w:vAlign w:val="bottom"/>
            <w:hideMark/>
          </w:tcPr>
          <w:p w14:paraId="79C6EF5C" w14:textId="77777777" w:rsidR="00303708" w:rsidRPr="00303708" w:rsidRDefault="00303708" w:rsidP="00303708">
            <w:pPr>
              <w:spacing w:after="0" w:line="240" w:lineRule="auto"/>
              <w:jc w:val="right"/>
              <w:rPr>
                <w:rFonts w:ascii="Arial" w:eastAsia="Times New Roman" w:hAnsi="Arial" w:cs="Arial"/>
                <w:b/>
                <w:bCs/>
                <w:sz w:val="20"/>
                <w:szCs w:val="20"/>
                <w:lang w:eastAsia="fr-FR"/>
              </w:rPr>
            </w:pPr>
            <w:r w:rsidRPr="00303708">
              <w:rPr>
                <w:rFonts w:ascii="Arial" w:eastAsia="Times New Roman" w:hAnsi="Arial" w:cs="Arial"/>
                <w:b/>
                <w:bCs/>
                <w:sz w:val="20"/>
                <w:szCs w:val="20"/>
                <w:lang w:eastAsia="fr-FR"/>
              </w:rPr>
              <w:t>47,7%</w:t>
            </w:r>
          </w:p>
        </w:tc>
      </w:tr>
    </w:tbl>
    <w:p w14:paraId="416F2B5D" w14:textId="77777777" w:rsidR="00C92F45" w:rsidRDefault="00C92F45" w:rsidP="00E71E29">
      <w:pPr>
        <w:autoSpaceDE w:val="0"/>
        <w:autoSpaceDN w:val="0"/>
        <w:adjustRightInd w:val="0"/>
        <w:spacing w:line="240" w:lineRule="atLeast"/>
        <w:jc w:val="both"/>
        <w:rPr>
          <w:rFonts w:asciiTheme="minorHAnsi" w:hAnsiTheme="minorHAnsi" w:cstheme="minorBidi"/>
          <w:sz w:val="24"/>
          <w:szCs w:val="24"/>
        </w:rPr>
      </w:pPr>
    </w:p>
    <w:p w14:paraId="44E782F2" w14:textId="2CB30B1B" w:rsidR="009E1556" w:rsidRDefault="009E1556">
      <w:pPr>
        <w:spacing w:after="0" w:line="240" w:lineRule="auto"/>
      </w:pPr>
    </w:p>
    <w:p w14:paraId="33BC20E3" w14:textId="77777777" w:rsidR="00303708" w:rsidRDefault="00303708">
      <w:pPr>
        <w:spacing w:after="0" w:line="240" w:lineRule="auto"/>
      </w:pPr>
    </w:p>
    <w:p w14:paraId="4FADC76F" w14:textId="77777777" w:rsidR="00303708" w:rsidRDefault="00303708" w:rsidP="474DC56F">
      <w:pPr>
        <w:spacing w:after="0" w:line="240" w:lineRule="auto"/>
        <w:rPr>
          <w:rFonts w:asciiTheme="minorHAnsi" w:hAnsiTheme="minorHAnsi" w:cstheme="minorBidi"/>
          <w:b/>
          <w:bCs/>
          <w:color w:val="0254A5"/>
          <w:u w:val="single"/>
        </w:rPr>
      </w:pPr>
    </w:p>
    <w:p w14:paraId="2A781E5C" w14:textId="54BC3FD3" w:rsidR="474DC56F" w:rsidRDefault="474DC56F" w:rsidP="474DC56F">
      <w:pPr>
        <w:spacing w:after="0" w:line="240" w:lineRule="auto"/>
        <w:rPr>
          <w:rFonts w:asciiTheme="minorHAnsi" w:hAnsiTheme="minorHAnsi" w:cstheme="minorBidi"/>
          <w:b/>
          <w:bCs/>
          <w:color w:val="0254A5"/>
          <w:u w:val="single"/>
        </w:rPr>
      </w:pPr>
    </w:p>
    <w:p w14:paraId="5B01421B" w14:textId="2772AC6B" w:rsidR="474DC56F" w:rsidRDefault="474DC56F" w:rsidP="474DC56F">
      <w:pPr>
        <w:spacing w:after="0" w:line="240" w:lineRule="auto"/>
        <w:rPr>
          <w:rFonts w:asciiTheme="minorHAnsi" w:hAnsiTheme="minorHAnsi" w:cstheme="minorBidi"/>
          <w:b/>
          <w:bCs/>
          <w:color w:val="0254A5"/>
          <w:u w:val="single"/>
        </w:rPr>
      </w:pPr>
    </w:p>
    <w:p w14:paraId="31A2ECA7" w14:textId="779EA55E" w:rsidR="474DC56F" w:rsidRDefault="474DC56F" w:rsidP="474DC56F">
      <w:pPr>
        <w:spacing w:after="0" w:line="240" w:lineRule="auto"/>
        <w:rPr>
          <w:rFonts w:asciiTheme="minorHAnsi" w:hAnsiTheme="minorHAnsi" w:cstheme="minorBidi"/>
          <w:b/>
          <w:bCs/>
          <w:color w:val="0254A5"/>
          <w:u w:val="single"/>
        </w:rPr>
      </w:pPr>
    </w:p>
    <w:p w14:paraId="63462880" w14:textId="18FA533A" w:rsidR="474DC56F" w:rsidRDefault="474DC56F" w:rsidP="474DC56F">
      <w:pPr>
        <w:spacing w:after="0" w:line="240" w:lineRule="auto"/>
        <w:rPr>
          <w:rFonts w:asciiTheme="minorHAnsi" w:hAnsiTheme="minorHAnsi" w:cstheme="minorBidi"/>
          <w:b/>
          <w:bCs/>
          <w:color w:val="0254A5"/>
          <w:u w:val="single"/>
        </w:rPr>
      </w:pPr>
    </w:p>
    <w:p w14:paraId="2DBF96D8" w14:textId="06C81558" w:rsidR="0049382B" w:rsidRPr="007E1F95" w:rsidRDefault="001A56DA" w:rsidP="0C1039A8">
      <w:pPr>
        <w:autoSpaceDE w:val="0"/>
        <w:autoSpaceDN w:val="0"/>
        <w:adjustRightInd w:val="0"/>
        <w:spacing w:line="240" w:lineRule="atLeast"/>
        <w:rPr>
          <w:rFonts w:asciiTheme="minorHAnsi" w:hAnsiTheme="minorHAnsi" w:cstheme="minorBidi"/>
          <w:b/>
          <w:bCs/>
          <w:color w:val="0254A5"/>
          <w:u w:val="single"/>
        </w:rPr>
      </w:pPr>
      <w:r w:rsidRPr="0C1039A8">
        <w:rPr>
          <w:rFonts w:asciiTheme="minorHAnsi" w:hAnsiTheme="minorHAnsi" w:cstheme="minorBidi"/>
          <w:b/>
          <w:bCs/>
          <w:color w:val="0254A5"/>
          <w:u w:val="single"/>
        </w:rPr>
        <w:t>Chiffre d'affaires et marge :</w:t>
      </w:r>
    </w:p>
    <w:p w14:paraId="474E6886" w14:textId="23889966" w:rsidR="001A56DA" w:rsidRPr="00095F64" w:rsidRDefault="1A33E6D7" w:rsidP="6BEB91E7">
      <w:pPr>
        <w:autoSpaceDE w:val="0"/>
        <w:autoSpaceDN w:val="0"/>
        <w:adjustRightInd w:val="0"/>
        <w:spacing w:line="240" w:lineRule="atLeast"/>
        <w:jc w:val="both"/>
        <w:rPr>
          <w:rFonts w:asciiTheme="minorHAnsi" w:hAnsiTheme="minorHAnsi" w:cstheme="minorBidi"/>
          <w:sz w:val="24"/>
          <w:szCs w:val="24"/>
        </w:rPr>
      </w:pPr>
      <w:r w:rsidRPr="6BEB91E7">
        <w:rPr>
          <w:rFonts w:asciiTheme="minorHAnsi" w:hAnsiTheme="minorHAnsi" w:cstheme="minorBidi"/>
          <w:sz w:val="24"/>
          <w:szCs w:val="24"/>
        </w:rPr>
        <w:t>L’année fiscale 202</w:t>
      </w:r>
      <w:r w:rsidR="3637BA0D" w:rsidRPr="6BEB91E7">
        <w:rPr>
          <w:rFonts w:asciiTheme="minorHAnsi" w:hAnsiTheme="minorHAnsi" w:cstheme="minorBidi"/>
          <w:sz w:val="24"/>
          <w:szCs w:val="24"/>
        </w:rPr>
        <w:t>4</w:t>
      </w:r>
      <w:r w:rsidRPr="6BEB91E7">
        <w:rPr>
          <w:rFonts w:asciiTheme="minorHAnsi" w:hAnsiTheme="minorHAnsi" w:cstheme="minorBidi"/>
          <w:sz w:val="24"/>
          <w:szCs w:val="24"/>
        </w:rPr>
        <w:t>-2</w:t>
      </w:r>
      <w:r w:rsidR="2BF5E5CF" w:rsidRPr="6BEB91E7">
        <w:rPr>
          <w:rFonts w:asciiTheme="minorHAnsi" w:hAnsiTheme="minorHAnsi" w:cstheme="minorBidi"/>
          <w:sz w:val="24"/>
          <w:szCs w:val="24"/>
        </w:rPr>
        <w:t>5</w:t>
      </w:r>
      <w:r w:rsidRPr="6BEB91E7">
        <w:rPr>
          <w:rFonts w:asciiTheme="minorHAnsi" w:hAnsiTheme="minorHAnsi" w:cstheme="minorBidi"/>
          <w:sz w:val="24"/>
          <w:szCs w:val="24"/>
        </w:rPr>
        <w:t xml:space="preserve"> est particulièrement satisfaisante pour le Groupe Lexibook. Les choix stratégiques s’avèrent payants et ont permis de </w:t>
      </w:r>
      <w:r w:rsidR="62405E54" w:rsidRPr="6BEB91E7">
        <w:rPr>
          <w:rFonts w:asciiTheme="minorHAnsi" w:hAnsiTheme="minorHAnsi" w:cstheme="minorBidi"/>
          <w:sz w:val="24"/>
          <w:szCs w:val="24"/>
        </w:rPr>
        <w:t>poursuivre</w:t>
      </w:r>
      <w:r w:rsidRPr="6BEB91E7">
        <w:rPr>
          <w:rFonts w:asciiTheme="minorHAnsi" w:hAnsiTheme="minorHAnsi" w:cstheme="minorBidi"/>
          <w:sz w:val="24"/>
          <w:szCs w:val="24"/>
        </w:rPr>
        <w:t xml:space="preserve"> une dynamique positive de croissance </w:t>
      </w:r>
      <w:r w:rsidR="62405E54" w:rsidRPr="6BEB91E7">
        <w:rPr>
          <w:rFonts w:asciiTheme="minorHAnsi" w:hAnsiTheme="minorHAnsi" w:cstheme="minorBidi"/>
          <w:sz w:val="24"/>
          <w:szCs w:val="24"/>
        </w:rPr>
        <w:t>rentable</w:t>
      </w:r>
      <w:r w:rsidRPr="6BEB91E7">
        <w:rPr>
          <w:rFonts w:asciiTheme="minorHAnsi" w:hAnsiTheme="minorHAnsi" w:cstheme="minorBidi"/>
          <w:sz w:val="24"/>
          <w:szCs w:val="24"/>
        </w:rPr>
        <w:t xml:space="preserve">. Le Groupe a ainsi enchainé </w:t>
      </w:r>
      <w:r w:rsidR="22630E4B" w:rsidRPr="6BEB91E7">
        <w:rPr>
          <w:rFonts w:asciiTheme="minorHAnsi" w:hAnsiTheme="minorHAnsi" w:cstheme="minorBidi"/>
          <w:sz w:val="24"/>
          <w:szCs w:val="24"/>
        </w:rPr>
        <w:t>6</w:t>
      </w:r>
      <w:r w:rsidRPr="6BEB91E7">
        <w:rPr>
          <w:rFonts w:asciiTheme="minorHAnsi" w:hAnsiTheme="minorHAnsi" w:cstheme="minorBidi"/>
          <w:sz w:val="24"/>
          <w:szCs w:val="24"/>
        </w:rPr>
        <w:t xml:space="preserve"> </w:t>
      </w:r>
      <w:r w:rsidR="003029F2" w:rsidRPr="6BEB91E7">
        <w:rPr>
          <w:rFonts w:asciiTheme="minorHAnsi" w:hAnsiTheme="minorHAnsi" w:cstheme="minorBidi"/>
          <w:sz w:val="24"/>
          <w:szCs w:val="24"/>
        </w:rPr>
        <w:t xml:space="preserve">années </w:t>
      </w:r>
      <w:r w:rsidRPr="6BEB91E7">
        <w:rPr>
          <w:rFonts w:asciiTheme="minorHAnsi" w:hAnsiTheme="minorHAnsi" w:cstheme="minorBidi"/>
          <w:sz w:val="24"/>
          <w:szCs w:val="24"/>
        </w:rPr>
        <w:t>consécuti</w:t>
      </w:r>
      <w:r w:rsidR="63E9149B" w:rsidRPr="6BEB91E7">
        <w:rPr>
          <w:rFonts w:asciiTheme="minorHAnsi" w:hAnsiTheme="minorHAnsi" w:cstheme="minorBidi"/>
          <w:sz w:val="24"/>
          <w:szCs w:val="24"/>
        </w:rPr>
        <w:t>ve</w:t>
      </w:r>
      <w:r w:rsidRPr="6BEB91E7">
        <w:rPr>
          <w:rFonts w:asciiTheme="minorHAnsi" w:hAnsiTheme="minorHAnsi" w:cstheme="minorBidi"/>
          <w:sz w:val="24"/>
          <w:szCs w:val="24"/>
        </w:rPr>
        <w:t>s de croissance sur les années 20</w:t>
      </w:r>
      <w:r w:rsidR="3BDE66EF" w:rsidRPr="6BEB91E7">
        <w:rPr>
          <w:rFonts w:asciiTheme="minorHAnsi" w:hAnsiTheme="minorHAnsi" w:cstheme="minorBidi"/>
          <w:sz w:val="24"/>
          <w:szCs w:val="24"/>
        </w:rPr>
        <w:t>19</w:t>
      </w:r>
      <w:r w:rsidRPr="6BEB91E7">
        <w:rPr>
          <w:rFonts w:asciiTheme="minorHAnsi" w:hAnsiTheme="minorHAnsi" w:cstheme="minorBidi"/>
          <w:sz w:val="24"/>
          <w:szCs w:val="24"/>
        </w:rPr>
        <w:t xml:space="preserve"> à 202</w:t>
      </w:r>
      <w:r w:rsidR="4115CE7E" w:rsidRPr="6BEB91E7">
        <w:rPr>
          <w:rFonts w:asciiTheme="minorHAnsi" w:hAnsiTheme="minorHAnsi" w:cstheme="minorBidi"/>
          <w:sz w:val="24"/>
          <w:szCs w:val="24"/>
        </w:rPr>
        <w:t>5</w:t>
      </w:r>
      <w:r w:rsidRPr="6BEB91E7">
        <w:rPr>
          <w:rFonts w:asciiTheme="minorHAnsi" w:hAnsiTheme="minorHAnsi" w:cstheme="minorBidi"/>
          <w:sz w:val="24"/>
          <w:szCs w:val="24"/>
        </w:rPr>
        <w:t xml:space="preserve">. L’activité est restée porteuse grâce aux nouveaux produits à fort potentiel, aux licences phares en portefeuille et à l’explosion des ventes digitales en France et à l’international. </w:t>
      </w:r>
      <w:r w:rsidR="321D864D" w:rsidRPr="6BEB91E7">
        <w:rPr>
          <w:rFonts w:asciiTheme="minorHAnsi" w:hAnsiTheme="minorHAnsi" w:cstheme="minorBidi"/>
          <w:sz w:val="24"/>
          <w:szCs w:val="24"/>
        </w:rPr>
        <w:t xml:space="preserve">Plus particulièrement, le groupe bénéficie d’un réel effet “Stitch”, qui </w:t>
      </w:r>
      <w:r w:rsidR="00EB3E7F">
        <w:rPr>
          <w:rFonts w:asciiTheme="minorHAnsi" w:hAnsiTheme="minorHAnsi" w:cstheme="minorBidi"/>
          <w:sz w:val="24"/>
          <w:szCs w:val="24"/>
        </w:rPr>
        <w:t>représente</w:t>
      </w:r>
      <w:r w:rsidR="321D864D" w:rsidRPr="6BEB91E7">
        <w:rPr>
          <w:rFonts w:asciiTheme="minorHAnsi" w:hAnsiTheme="minorHAnsi" w:cstheme="minorBidi"/>
          <w:sz w:val="24"/>
          <w:szCs w:val="24"/>
        </w:rPr>
        <w:t xml:space="preserve"> 1</w:t>
      </w:r>
      <w:r w:rsidR="2A74B839" w:rsidRPr="6BEB91E7">
        <w:rPr>
          <w:rFonts w:asciiTheme="minorHAnsi" w:hAnsiTheme="minorHAnsi" w:cstheme="minorBidi"/>
          <w:sz w:val="24"/>
          <w:szCs w:val="24"/>
        </w:rPr>
        <w:t>7</w:t>
      </w:r>
      <w:r w:rsidR="321D864D" w:rsidRPr="6BEB91E7">
        <w:rPr>
          <w:rFonts w:asciiTheme="minorHAnsi" w:hAnsiTheme="minorHAnsi" w:cstheme="minorBidi"/>
          <w:sz w:val="24"/>
          <w:szCs w:val="24"/>
        </w:rPr>
        <w:t>M</w:t>
      </w:r>
      <w:r w:rsidR="00EB3E7F">
        <w:rPr>
          <w:rFonts w:asciiTheme="minorHAnsi" w:hAnsiTheme="minorHAnsi" w:cstheme="minorBidi"/>
          <w:sz w:val="24"/>
          <w:szCs w:val="24"/>
        </w:rPr>
        <w:t>€</w:t>
      </w:r>
      <w:r w:rsidR="321D864D" w:rsidRPr="6BEB91E7">
        <w:rPr>
          <w:rFonts w:asciiTheme="minorHAnsi" w:hAnsiTheme="minorHAnsi" w:cstheme="minorBidi"/>
          <w:sz w:val="24"/>
          <w:szCs w:val="24"/>
        </w:rPr>
        <w:t xml:space="preserve"> de </w:t>
      </w:r>
      <w:r w:rsidR="06E2FF39" w:rsidRPr="6BEB91E7">
        <w:rPr>
          <w:rFonts w:asciiTheme="minorHAnsi" w:hAnsiTheme="minorHAnsi" w:cstheme="minorBidi"/>
          <w:sz w:val="24"/>
          <w:szCs w:val="24"/>
        </w:rPr>
        <w:t xml:space="preserve">chiffre d’affaires sur l’exercice. </w:t>
      </w:r>
      <w:r w:rsidRPr="6BEB91E7">
        <w:rPr>
          <w:rFonts w:asciiTheme="minorHAnsi" w:hAnsiTheme="minorHAnsi" w:cstheme="minorBidi"/>
          <w:sz w:val="24"/>
          <w:szCs w:val="24"/>
        </w:rPr>
        <w:t xml:space="preserve">Au global sur l’exercice, le chiffre d’affaires s’est clôturé à un niveau historique jamais atteint par Lexibook à </w:t>
      </w:r>
      <w:r w:rsidR="182B780C" w:rsidRPr="6BEB91E7">
        <w:rPr>
          <w:rFonts w:asciiTheme="minorHAnsi" w:hAnsiTheme="minorHAnsi" w:cstheme="minorBidi"/>
          <w:sz w:val="24"/>
          <w:szCs w:val="24"/>
        </w:rPr>
        <w:t>74,0</w:t>
      </w:r>
      <w:r w:rsidRPr="6BEB91E7">
        <w:rPr>
          <w:rFonts w:asciiTheme="minorHAnsi" w:hAnsiTheme="minorHAnsi" w:cstheme="minorBidi"/>
          <w:sz w:val="24"/>
          <w:szCs w:val="24"/>
        </w:rPr>
        <w:t>M€ (+</w:t>
      </w:r>
      <w:r w:rsidR="437B6529" w:rsidRPr="6BEB91E7">
        <w:rPr>
          <w:rFonts w:asciiTheme="minorHAnsi" w:hAnsiTheme="minorHAnsi" w:cstheme="minorBidi"/>
          <w:sz w:val="24"/>
          <w:szCs w:val="24"/>
        </w:rPr>
        <w:t>26,3</w:t>
      </w:r>
      <w:r w:rsidRPr="6BEB91E7">
        <w:rPr>
          <w:rFonts w:asciiTheme="minorHAnsi" w:hAnsiTheme="minorHAnsi" w:cstheme="minorBidi"/>
          <w:sz w:val="24"/>
          <w:szCs w:val="24"/>
        </w:rPr>
        <w:t>%). Le CA FOB (CA facturé directement depuis HK sur des livraisons FOB HK par containers complets)</w:t>
      </w:r>
      <w:r w:rsidR="35F00E0D" w:rsidRPr="6BEB91E7">
        <w:rPr>
          <w:rFonts w:asciiTheme="minorHAnsi" w:hAnsiTheme="minorHAnsi" w:cstheme="minorBidi"/>
          <w:sz w:val="24"/>
          <w:szCs w:val="24"/>
        </w:rPr>
        <w:t xml:space="preserve"> et le</w:t>
      </w:r>
      <w:r w:rsidRPr="6BEB91E7">
        <w:rPr>
          <w:rFonts w:asciiTheme="minorHAnsi" w:hAnsiTheme="minorHAnsi" w:cstheme="minorBidi"/>
          <w:sz w:val="24"/>
          <w:szCs w:val="24"/>
        </w:rPr>
        <w:t xml:space="preserve"> CA non FOB</w:t>
      </w:r>
      <w:r w:rsidR="11945264" w:rsidRPr="6BEB91E7">
        <w:rPr>
          <w:rFonts w:asciiTheme="minorHAnsi" w:hAnsiTheme="minorHAnsi" w:cstheme="minorBidi"/>
          <w:sz w:val="24"/>
          <w:szCs w:val="24"/>
        </w:rPr>
        <w:t xml:space="preserve"> sont tous deux en progression</w:t>
      </w:r>
      <w:r w:rsidRPr="6BEB91E7">
        <w:rPr>
          <w:rFonts w:asciiTheme="minorHAnsi" w:hAnsiTheme="minorHAnsi" w:cstheme="minorBidi"/>
          <w:sz w:val="24"/>
          <w:szCs w:val="24"/>
        </w:rPr>
        <w:t xml:space="preserve">, témoignant de l’engouement pour les produits du Groupe par la distribution internationale. </w:t>
      </w:r>
    </w:p>
    <w:p w14:paraId="51D9B171" w14:textId="0ACEE613" w:rsidR="001A56DA" w:rsidRPr="00095F64" w:rsidRDefault="1A33E6D7" w:rsidP="6BEB91E7">
      <w:pPr>
        <w:autoSpaceDE w:val="0"/>
        <w:autoSpaceDN w:val="0"/>
        <w:adjustRightInd w:val="0"/>
        <w:spacing w:line="240" w:lineRule="atLeast"/>
        <w:jc w:val="both"/>
        <w:rPr>
          <w:rFonts w:asciiTheme="minorHAnsi" w:hAnsiTheme="minorHAnsi" w:cstheme="minorBidi"/>
          <w:sz w:val="24"/>
          <w:szCs w:val="24"/>
        </w:rPr>
      </w:pPr>
      <w:r w:rsidRPr="6BEB91E7">
        <w:rPr>
          <w:rFonts w:asciiTheme="minorHAnsi" w:hAnsiTheme="minorHAnsi" w:cstheme="minorBidi"/>
          <w:sz w:val="24"/>
          <w:szCs w:val="24"/>
        </w:rPr>
        <w:t>Sur l’année fiscale complète, la France représente 3</w:t>
      </w:r>
      <w:r w:rsidR="48885898" w:rsidRPr="6BEB91E7">
        <w:rPr>
          <w:rFonts w:asciiTheme="minorHAnsi" w:hAnsiTheme="minorHAnsi" w:cstheme="minorBidi"/>
          <w:sz w:val="24"/>
          <w:szCs w:val="24"/>
        </w:rPr>
        <w:t>4</w:t>
      </w:r>
      <w:r w:rsidRPr="6BEB91E7">
        <w:rPr>
          <w:rFonts w:asciiTheme="minorHAnsi" w:hAnsiTheme="minorHAnsi" w:cstheme="minorBidi"/>
          <w:sz w:val="24"/>
          <w:szCs w:val="24"/>
        </w:rPr>
        <w:t>% du CA</w:t>
      </w:r>
      <w:r w:rsidR="2E4451D6" w:rsidRPr="6BEB91E7">
        <w:rPr>
          <w:rFonts w:asciiTheme="minorHAnsi" w:hAnsiTheme="minorHAnsi" w:cstheme="minorBidi"/>
          <w:sz w:val="24"/>
          <w:szCs w:val="24"/>
        </w:rPr>
        <w:t>.</w:t>
      </w:r>
      <w:r w:rsidRPr="6BEB91E7">
        <w:rPr>
          <w:rFonts w:asciiTheme="minorHAnsi" w:hAnsiTheme="minorHAnsi" w:cstheme="minorBidi"/>
          <w:sz w:val="24"/>
          <w:szCs w:val="24"/>
        </w:rPr>
        <w:t xml:space="preserve"> L’international </w:t>
      </w:r>
      <w:r w:rsidR="1FBF8233" w:rsidRPr="6BEB91E7">
        <w:rPr>
          <w:rFonts w:asciiTheme="minorHAnsi" w:hAnsiTheme="minorHAnsi" w:cstheme="minorBidi"/>
          <w:sz w:val="24"/>
          <w:szCs w:val="24"/>
        </w:rPr>
        <w:t xml:space="preserve">(hors Europe) augmente de </w:t>
      </w:r>
      <w:r w:rsidR="67D12F4D" w:rsidRPr="6BEB91E7">
        <w:rPr>
          <w:rFonts w:asciiTheme="minorHAnsi" w:hAnsiTheme="minorHAnsi" w:cstheme="minorBidi"/>
          <w:sz w:val="24"/>
          <w:szCs w:val="24"/>
        </w:rPr>
        <w:t>10</w:t>
      </w:r>
      <w:r w:rsidR="1FBF8233" w:rsidRPr="6BEB91E7">
        <w:rPr>
          <w:rFonts w:asciiTheme="minorHAnsi" w:hAnsiTheme="minorHAnsi" w:cstheme="minorBidi"/>
          <w:sz w:val="24"/>
          <w:szCs w:val="24"/>
        </w:rPr>
        <w:t xml:space="preserve"> à 1</w:t>
      </w:r>
      <w:r w:rsidR="2E48CA50" w:rsidRPr="6BEB91E7">
        <w:rPr>
          <w:rFonts w:asciiTheme="minorHAnsi" w:hAnsiTheme="minorHAnsi" w:cstheme="minorBidi"/>
          <w:sz w:val="24"/>
          <w:szCs w:val="24"/>
        </w:rPr>
        <w:t>3</w:t>
      </w:r>
      <w:r w:rsidR="1FBF8233" w:rsidRPr="6BEB91E7">
        <w:rPr>
          <w:rFonts w:asciiTheme="minorHAnsi" w:hAnsiTheme="minorHAnsi" w:cstheme="minorBidi"/>
          <w:sz w:val="24"/>
          <w:szCs w:val="24"/>
        </w:rPr>
        <w:t xml:space="preserve">% du CA </w:t>
      </w:r>
      <w:r w:rsidRPr="6BEB91E7">
        <w:rPr>
          <w:rFonts w:asciiTheme="minorHAnsi" w:hAnsiTheme="minorHAnsi" w:cstheme="minorBidi"/>
          <w:sz w:val="24"/>
          <w:szCs w:val="24"/>
        </w:rPr>
        <w:t>et bénéficie d’un potentiel important.</w:t>
      </w:r>
    </w:p>
    <w:p w14:paraId="76793088" w14:textId="14716FD1" w:rsidR="001A56DA" w:rsidRDefault="1A33E6D7" w:rsidP="6BEB91E7">
      <w:pPr>
        <w:spacing w:after="0"/>
        <w:jc w:val="both"/>
        <w:rPr>
          <w:rFonts w:asciiTheme="minorHAnsi" w:hAnsiTheme="minorHAnsi" w:cstheme="minorBidi"/>
          <w:sz w:val="24"/>
          <w:szCs w:val="24"/>
          <w:lang w:val="fr"/>
        </w:rPr>
      </w:pPr>
      <w:r w:rsidRPr="6BEB91E7">
        <w:rPr>
          <w:rFonts w:asciiTheme="minorHAnsi" w:hAnsiTheme="minorHAnsi" w:cstheme="minorBidi"/>
          <w:sz w:val="24"/>
          <w:szCs w:val="24"/>
        </w:rPr>
        <w:t xml:space="preserve">En termes de produits, la progression des ventes est tirée par les jouets, l’horlogerie, les instruments de musique et les talkies-walkies grâce aux nouveautés sur les marques propres du Groupe et </w:t>
      </w:r>
      <w:r w:rsidR="7F734F0D" w:rsidRPr="6BEB91E7">
        <w:rPr>
          <w:rFonts w:asciiTheme="minorHAnsi" w:hAnsiTheme="minorHAnsi" w:cstheme="minorBidi"/>
          <w:sz w:val="24"/>
          <w:szCs w:val="24"/>
        </w:rPr>
        <w:t xml:space="preserve">grâce </w:t>
      </w:r>
      <w:r w:rsidRPr="6BEB91E7">
        <w:rPr>
          <w:rFonts w:asciiTheme="minorHAnsi" w:hAnsiTheme="minorHAnsi" w:cstheme="minorBidi"/>
          <w:sz w:val="24"/>
          <w:szCs w:val="24"/>
        </w:rPr>
        <w:t>aux produits sous licence</w:t>
      </w:r>
      <w:r w:rsidR="5A1FADF9" w:rsidRPr="6BEB91E7">
        <w:rPr>
          <w:rFonts w:asciiTheme="minorHAnsi" w:hAnsiTheme="minorHAnsi" w:cstheme="minorBidi"/>
          <w:sz w:val="24"/>
          <w:szCs w:val="24"/>
        </w:rPr>
        <w:t xml:space="preserve"> (principalement Stitch)</w:t>
      </w:r>
      <w:r w:rsidRPr="6BEB91E7">
        <w:rPr>
          <w:rFonts w:asciiTheme="minorHAnsi" w:hAnsiTheme="minorHAnsi" w:cstheme="minorBidi"/>
          <w:sz w:val="24"/>
          <w:szCs w:val="24"/>
        </w:rPr>
        <w:t xml:space="preserve">. </w:t>
      </w:r>
    </w:p>
    <w:p w14:paraId="2C7A10BD" w14:textId="1FFAE5DA" w:rsidR="6BEB91E7" w:rsidRDefault="6BEB91E7" w:rsidP="6BEB91E7">
      <w:pPr>
        <w:spacing w:after="0"/>
        <w:jc w:val="both"/>
        <w:rPr>
          <w:rFonts w:asciiTheme="minorHAnsi" w:hAnsiTheme="minorHAnsi" w:cstheme="minorBidi"/>
          <w:sz w:val="24"/>
          <w:szCs w:val="24"/>
          <w:lang w:val="fr"/>
        </w:rPr>
      </w:pPr>
    </w:p>
    <w:p w14:paraId="5F3DB22A" w14:textId="0421DBAB" w:rsidR="717AB306" w:rsidRDefault="4FDE60AB" w:rsidP="6BEB91E7">
      <w:pPr>
        <w:spacing w:after="0"/>
        <w:jc w:val="both"/>
        <w:rPr>
          <w:rFonts w:asciiTheme="minorHAnsi" w:hAnsiTheme="minorHAnsi" w:cstheme="minorBidi"/>
          <w:sz w:val="24"/>
          <w:szCs w:val="24"/>
          <w:lang w:val="fr"/>
        </w:rPr>
      </w:pPr>
      <w:r w:rsidRPr="6BEB91E7">
        <w:rPr>
          <w:rFonts w:asciiTheme="minorHAnsi" w:hAnsiTheme="minorHAnsi" w:cstheme="minorBidi"/>
          <w:sz w:val="24"/>
          <w:szCs w:val="24"/>
          <w:lang w:val="fr"/>
        </w:rPr>
        <w:t xml:space="preserve">Enfin, la digitalisation du Groupe porte ses fruits : les ventes digitales sont en forte progression tant en France que sur les différents marchés, notamment grâce à une campagne de marketing digitale massive et d’envergure </w:t>
      </w:r>
      <w:r w:rsidR="7DF6C06E" w:rsidRPr="6BEB91E7">
        <w:rPr>
          <w:rFonts w:asciiTheme="minorHAnsi" w:hAnsiTheme="minorHAnsi" w:cstheme="minorBidi"/>
          <w:sz w:val="24"/>
          <w:szCs w:val="24"/>
          <w:lang w:val="fr"/>
        </w:rPr>
        <w:t xml:space="preserve">mondiale </w:t>
      </w:r>
      <w:r w:rsidRPr="6BEB91E7">
        <w:rPr>
          <w:rFonts w:asciiTheme="minorHAnsi" w:hAnsiTheme="minorHAnsi" w:cstheme="minorBidi"/>
          <w:sz w:val="24"/>
          <w:szCs w:val="24"/>
          <w:lang w:val="fr"/>
        </w:rPr>
        <w:t xml:space="preserve">sur les nouveautés du Groupe. </w:t>
      </w:r>
    </w:p>
    <w:p w14:paraId="5C2D9887" w14:textId="3BFA282A" w:rsidR="717AB306" w:rsidRDefault="717AB306" w:rsidP="3A868EA2">
      <w:pPr>
        <w:spacing w:after="0"/>
        <w:jc w:val="both"/>
        <w:rPr>
          <w:rFonts w:asciiTheme="minorHAnsi" w:hAnsiTheme="minorHAnsi" w:cstheme="minorBidi"/>
          <w:sz w:val="24"/>
          <w:szCs w:val="24"/>
          <w:lang w:val="fr"/>
        </w:rPr>
      </w:pPr>
      <w:r w:rsidRPr="3A868EA2">
        <w:rPr>
          <w:rFonts w:asciiTheme="minorHAnsi" w:hAnsiTheme="minorHAnsi" w:cstheme="minorBidi"/>
          <w:sz w:val="24"/>
          <w:szCs w:val="24"/>
          <w:lang w:val="fr"/>
        </w:rPr>
        <w:t xml:space="preserve"> </w:t>
      </w:r>
    </w:p>
    <w:p w14:paraId="2DBC0248" w14:textId="3DE60B04" w:rsidR="0C1039A8" w:rsidRDefault="7CD16C5F" w:rsidP="6BEB91E7">
      <w:pPr>
        <w:spacing w:after="0"/>
        <w:jc w:val="both"/>
        <w:rPr>
          <w:rFonts w:asciiTheme="minorHAnsi" w:hAnsiTheme="minorHAnsi" w:cstheme="minorBidi"/>
          <w:sz w:val="24"/>
          <w:szCs w:val="24"/>
        </w:rPr>
      </w:pPr>
      <w:r w:rsidRPr="6BEB91E7">
        <w:rPr>
          <w:rFonts w:asciiTheme="minorHAnsi" w:hAnsiTheme="minorHAnsi" w:cstheme="minorBidi"/>
          <w:sz w:val="24"/>
          <w:szCs w:val="24"/>
        </w:rPr>
        <w:t xml:space="preserve">Dans un contexte de dépréciation de l’euro vs l’USD de l’ordre de 1,0% en 1 an, et d’une augmentation des coûts de fret très significative, les marges du Groupe </w:t>
      </w:r>
      <w:r w:rsidR="007A150A">
        <w:rPr>
          <w:rFonts w:asciiTheme="minorHAnsi" w:hAnsiTheme="minorHAnsi" w:cstheme="minorBidi"/>
          <w:sz w:val="24"/>
          <w:szCs w:val="24"/>
        </w:rPr>
        <w:t>s</w:t>
      </w:r>
      <w:r w:rsidRPr="6BEB91E7">
        <w:rPr>
          <w:rFonts w:asciiTheme="minorHAnsi" w:hAnsiTheme="minorHAnsi" w:cstheme="minorBidi"/>
          <w:sz w:val="24"/>
          <w:szCs w:val="24"/>
        </w:rPr>
        <w:t xml:space="preserve">ont néanmoins </w:t>
      </w:r>
      <w:r w:rsidR="007A150A">
        <w:rPr>
          <w:rFonts w:asciiTheme="minorHAnsi" w:hAnsiTheme="minorHAnsi" w:cstheme="minorBidi"/>
          <w:sz w:val="24"/>
          <w:szCs w:val="24"/>
        </w:rPr>
        <w:t>restées stables</w:t>
      </w:r>
      <w:r w:rsidRPr="6BEB91E7">
        <w:rPr>
          <w:rFonts w:asciiTheme="minorHAnsi" w:hAnsiTheme="minorHAnsi" w:cstheme="minorBidi"/>
          <w:sz w:val="24"/>
          <w:szCs w:val="24"/>
        </w:rPr>
        <w:t xml:space="preserve"> dans la mesure où Lexibook a réussi à maintenir ses tarifs, voir à les augmenter de manière ciblée et a continué à lancer des nouveautés à forte rentabilité.</w:t>
      </w:r>
      <w:r w:rsidR="4FDE60AB" w:rsidRPr="6BEB91E7">
        <w:rPr>
          <w:rFonts w:asciiTheme="minorHAnsi" w:hAnsiTheme="minorHAnsi" w:cstheme="minorBidi"/>
          <w:sz w:val="24"/>
          <w:szCs w:val="24"/>
        </w:rPr>
        <w:t xml:space="preserve"> La marge brute sur l’exercice ressort ainsi à un niveau élevé de </w:t>
      </w:r>
      <w:r w:rsidR="42466C98" w:rsidRPr="6BEB91E7">
        <w:rPr>
          <w:rFonts w:asciiTheme="minorHAnsi" w:hAnsiTheme="minorHAnsi" w:cstheme="minorBidi"/>
          <w:sz w:val="24"/>
          <w:szCs w:val="24"/>
        </w:rPr>
        <w:t>60,2</w:t>
      </w:r>
      <w:r w:rsidR="4FDE60AB" w:rsidRPr="6BEB91E7">
        <w:rPr>
          <w:rFonts w:asciiTheme="minorHAnsi" w:hAnsiTheme="minorHAnsi" w:cstheme="minorBidi"/>
          <w:sz w:val="24"/>
          <w:szCs w:val="24"/>
        </w:rPr>
        <w:t>% vs 5</w:t>
      </w:r>
      <w:r w:rsidR="4082E4DE" w:rsidRPr="6BEB91E7">
        <w:rPr>
          <w:rFonts w:asciiTheme="minorHAnsi" w:hAnsiTheme="minorHAnsi" w:cstheme="minorBidi"/>
          <w:sz w:val="24"/>
          <w:szCs w:val="24"/>
        </w:rPr>
        <w:t>9,9</w:t>
      </w:r>
      <w:r w:rsidR="4FDE60AB" w:rsidRPr="6BEB91E7">
        <w:rPr>
          <w:rFonts w:asciiTheme="minorHAnsi" w:hAnsiTheme="minorHAnsi" w:cstheme="minorBidi"/>
          <w:sz w:val="24"/>
          <w:szCs w:val="24"/>
        </w:rPr>
        <w:t xml:space="preserve">% l’année précédente, en progression de </w:t>
      </w:r>
      <w:r w:rsidR="5037FCD6" w:rsidRPr="6BEB91E7">
        <w:rPr>
          <w:rFonts w:asciiTheme="minorHAnsi" w:hAnsiTheme="minorHAnsi" w:cstheme="minorBidi"/>
          <w:sz w:val="24"/>
          <w:szCs w:val="24"/>
        </w:rPr>
        <w:t>9,5</w:t>
      </w:r>
      <w:r w:rsidR="4FDE60AB" w:rsidRPr="6BEB91E7">
        <w:rPr>
          <w:rFonts w:asciiTheme="minorHAnsi" w:hAnsiTheme="minorHAnsi" w:cstheme="minorBidi"/>
          <w:sz w:val="24"/>
          <w:szCs w:val="24"/>
        </w:rPr>
        <w:t xml:space="preserve"> M€ vs N-1 et après une progression de </w:t>
      </w:r>
      <w:r w:rsidR="49B5623C" w:rsidRPr="6BEB91E7">
        <w:rPr>
          <w:rFonts w:asciiTheme="minorHAnsi" w:hAnsiTheme="minorHAnsi" w:cstheme="minorBidi"/>
          <w:sz w:val="24"/>
          <w:szCs w:val="24"/>
        </w:rPr>
        <w:t>7,2</w:t>
      </w:r>
      <w:r w:rsidR="4FDE60AB" w:rsidRPr="6BEB91E7">
        <w:rPr>
          <w:rFonts w:asciiTheme="minorHAnsi" w:hAnsiTheme="minorHAnsi" w:cstheme="minorBidi"/>
          <w:sz w:val="24"/>
          <w:szCs w:val="24"/>
        </w:rPr>
        <w:t xml:space="preserve"> M€ l’année précédente.</w:t>
      </w:r>
    </w:p>
    <w:p w14:paraId="1727458A" w14:textId="569022F2" w:rsidR="00472836" w:rsidRDefault="1A33E6D7" w:rsidP="3A868EA2">
      <w:pPr>
        <w:autoSpaceDE w:val="0"/>
        <w:autoSpaceDN w:val="0"/>
        <w:adjustRightInd w:val="0"/>
        <w:spacing w:line="240" w:lineRule="atLeast"/>
        <w:jc w:val="both"/>
        <w:rPr>
          <w:rFonts w:asciiTheme="minorHAnsi" w:hAnsiTheme="minorHAnsi" w:cstheme="minorBidi"/>
          <w:sz w:val="24"/>
          <w:szCs w:val="24"/>
        </w:rPr>
      </w:pPr>
      <w:r w:rsidRPr="728E4782">
        <w:rPr>
          <w:rFonts w:asciiTheme="minorHAnsi" w:hAnsiTheme="minorHAnsi" w:cstheme="minorBidi"/>
          <w:sz w:val="24"/>
          <w:szCs w:val="24"/>
        </w:rPr>
        <w:t>Le tableau ci-dessous présente la marge brute, la marge brute retraitée des impacts de change qui sont inclus dans le résultat financier et d’éléments exceptionnels inclus dans la marge brute et la marge 4 nets après participations publicitaires et royalties :</w:t>
      </w:r>
    </w:p>
    <w:p w14:paraId="763B080B" w14:textId="77777777" w:rsidR="000E53AA" w:rsidRDefault="000E53AA" w:rsidP="3A868EA2">
      <w:pPr>
        <w:autoSpaceDE w:val="0"/>
        <w:autoSpaceDN w:val="0"/>
        <w:adjustRightInd w:val="0"/>
        <w:spacing w:line="240" w:lineRule="atLeast"/>
        <w:jc w:val="both"/>
        <w:rPr>
          <w:rFonts w:asciiTheme="minorHAnsi" w:hAnsiTheme="minorHAnsi" w:cstheme="minorBidi"/>
          <w:sz w:val="24"/>
          <w:szCs w:val="24"/>
        </w:rPr>
      </w:pPr>
    </w:p>
    <w:p w14:paraId="799776F3" w14:textId="77777777" w:rsidR="000E53AA" w:rsidRDefault="000E53AA" w:rsidP="3A868EA2">
      <w:pPr>
        <w:autoSpaceDE w:val="0"/>
        <w:autoSpaceDN w:val="0"/>
        <w:adjustRightInd w:val="0"/>
        <w:spacing w:line="240" w:lineRule="atLeast"/>
        <w:jc w:val="both"/>
        <w:rPr>
          <w:rFonts w:asciiTheme="minorHAnsi" w:hAnsiTheme="minorHAnsi" w:cstheme="minorBidi"/>
          <w:sz w:val="24"/>
          <w:szCs w:val="24"/>
        </w:rPr>
      </w:pPr>
    </w:p>
    <w:p w14:paraId="23A7E193" w14:textId="77777777" w:rsidR="000E53AA" w:rsidRDefault="000E53AA" w:rsidP="3A868EA2">
      <w:pPr>
        <w:autoSpaceDE w:val="0"/>
        <w:autoSpaceDN w:val="0"/>
        <w:adjustRightInd w:val="0"/>
        <w:spacing w:line="240" w:lineRule="atLeast"/>
        <w:jc w:val="both"/>
        <w:rPr>
          <w:rFonts w:asciiTheme="minorHAnsi" w:hAnsiTheme="minorHAnsi" w:cstheme="minorBidi"/>
          <w:sz w:val="24"/>
          <w:szCs w:val="24"/>
        </w:rPr>
      </w:pPr>
    </w:p>
    <w:p w14:paraId="72B5A676" w14:textId="77777777" w:rsidR="000E53AA" w:rsidRDefault="000E53AA" w:rsidP="474DC56F">
      <w:pPr>
        <w:autoSpaceDE w:val="0"/>
        <w:autoSpaceDN w:val="0"/>
        <w:adjustRightInd w:val="0"/>
        <w:spacing w:line="240" w:lineRule="atLeast"/>
        <w:jc w:val="both"/>
        <w:rPr>
          <w:rFonts w:asciiTheme="minorHAnsi" w:hAnsiTheme="minorHAnsi" w:cstheme="minorBidi"/>
          <w:sz w:val="24"/>
          <w:szCs w:val="24"/>
        </w:rPr>
      </w:pPr>
    </w:p>
    <w:p w14:paraId="5B0C9F58" w14:textId="5CBCD49B" w:rsidR="474DC56F" w:rsidRDefault="474DC56F" w:rsidP="474DC56F">
      <w:pPr>
        <w:spacing w:line="240" w:lineRule="atLeast"/>
        <w:jc w:val="both"/>
        <w:rPr>
          <w:rFonts w:asciiTheme="minorHAnsi" w:hAnsiTheme="minorHAnsi" w:cstheme="minorBidi"/>
          <w:sz w:val="24"/>
          <w:szCs w:val="24"/>
        </w:rPr>
      </w:pPr>
    </w:p>
    <w:p w14:paraId="06B04C12" w14:textId="77777777" w:rsidR="000E53AA" w:rsidRDefault="000E53AA" w:rsidP="3A868EA2">
      <w:pPr>
        <w:autoSpaceDE w:val="0"/>
        <w:autoSpaceDN w:val="0"/>
        <w:adjustRightInd w:val="0"/>
        <w:spacing w:line="240" w:lineRule="atLeast"/>
        <w:jc w:val="both"/>
        <w:rPr>
          <w:rFonts w:asciiTheme="minorHAnsi" w:hAnsiTheme="minorHAnsi" w:cstheme="minorBidi"/>
          <w:sz w:val="24"/>
          <w:szCs w:val="24"/>
        </w:rPr>
      </w:pPr>
    </w:p>
    <w:p w14:paraId="53CD1695" w14:textId="77777777" w:rsidR="000E53AA" w:rsidRDefault="000E53AA" w:rsidP="3A868EA2">
      <w:pPr>
        <w:autoSpaceDE w:val="0"/>
        <w:autoSpaceDN w:val="0"/>
        <w:adjustRightInd w:val="0"/>
        <w:spacing w:line="240" w:lineRule="atLeast"/>
        <w:jc w:val="both"/>
        <w:rPr>
          <w:rFonts w:asciiTheme="minorHAnsi" w:hAnsiTheme="minorHAnsi" w:cstheme="minorBidi"/>
          <w:sz w:val="24"/>
          <w:szCs w:val="24"/>
        </w:rPr>
      </w:pPr>
    </w:p>
    <w:p w14:paraId="51BD1A4E" w14:textId="77777777" w:rsidR="000E53AA" w:rsidRPr="00095F64" w:rsidRDefault="000E53AA" w:rsidP="3A868EA2">
      <w:pPr>
        <w:autoSpaceDE w:val="0"/>
        <w:autoSpaceDN w:val="0"/>
        <w:adjustRightInd w:val="0"/>
        <w:spacing w:line="240" w:lineRule="atLeast"/>
        <w:jc w:val="both"/>
        <w:rPr>
          <w:rFonts w:asciiTheme="minorHAnsi" w:hAnsiTheme="minorHAnsi" w:cstheme="minorBidi"/>
          <w:sz w:val="24"/>
          <w:szCs w:val="24"/>
        </w:rPr>
      </w:pPr>
    </w:p>
    <w:tbl>
      <w:tblPr>
        <w:tblW w:w="10453" w:type="dxa"/>
        <w:tblCellMar>
          <w:top w:w="15" w:type="dxa"/>
          <w:left w:w="70" w:type="dxa"/>
          <w:bottom w:w="15" w:type="dxa"/>
          <w:right w:w="70" w:type="dxa"/>
        </w:tblCellMar>
        <w:tblLook w:val="04A0" w:firstRow="1" w:lastRow="0" w:firstColumn="1" w:lastColumn="0" w:noHBand="0" w:noVBand="1"/>
      </w:tblPr>
      <w:tblGrid>
        <w:gridCol w:w="3582"/>
        <w:gridCol w:w="806"/>
        <w:gridCol w:w="1271"/>
        <w:gridCol w:w="208"/>
        <w:gridCol w:w="1367"/>
        <w:gridCol w:w="208"/>
        <w:gridCol w:w="1367"/>
        <w:gridCol w:w="208"/>
        <w:gridCol w:w="1436"/>
      </w:tblGrid>
      <w:tr w:rsidR="00952DE3" w:rsidRPr="00952DE3" w14:paraId="651989BE" w14:textId="77777777" w:rsidTr="0038631B">
        <w:trPr>
          <w:trHeight w:val="774"/>
        </w:trPr>
        <w:tc>
          <w:tcPr>
            <w:tcW w:w="3582" w:type="dxa"/>
            <w:tcBorders>
              <w:top w:val="nil"/>
              <w:left w:val="nil"/>
              <w:bottom w:val="nil"/>
              <w:right w:val="nil"/>
            </w:tcBorders>
            <w:shd w:val="clear" w:color="000000" w:fill="FFFFFF"/>
            <w:noWrap/>
            <w:vAlign w:val="bottom"/>
            <w:hideMark/>
          </w:tcPr>
          <w:p w14:paraId="4CE649B9" w14:textId="77777777" w:rsidR="00952DE3" w:rsidRPr="00952DE3" w:rsidRDefault="00952DE3" w:rsidP="00952DE3">
            <w:pPr>
              <w:spacing w:after="0" w:line="240" w:lineRule="auto"/>
              <w:rPr>
                <w:rFonts w:ascii="Times New Roman" w:eastAsia="Times New Roman" w:hAnsi="Times New Roman"/>
                <w:sz w:val="20"/>
                <w:szCs w:val="20"/>
                <w:lang w:eastAsia="fr-FR"/>
              </w:rPr>
            </w:pPr>
          </w:p>
        </w:tc>
        <w:tc>
          <w:tcPr>
            <w:tcW w:w="806" w:type="dxa"/>
            <w:tcBorders>
              <w:top w:val="nil"/>
              <w:left w:val="nil"/>
              <w:bottom w:val="nil"/>
              <w:right w:val="nil"/>
            </w:tcBorders>
            <w:shd w:val="clear" w:color="000000" w:fill="FFFFFF"/>
            <w:vAlign w:val="center"/>
            <w:hideMark/>
          </w:tcPr>
          <w:p w14:paraId="39A72DA0" w14:textId="77777777" w:rsidR="00952DE3" w:rsidRPr="00952DE3" w:rsidRDefault="00952DE3" w:rsidP="00952DE3">
            <w:pPr>
              <w:spacing w:after="0" w:line="240" w:lineRule="auto"/>
              <w:jc w:val="center"/>
              <w:rPr>
                <w:rFonts w:ascii="Arial" w:eastAsia="Times New Roman" w:hAnsi="Arial" w:cs="Arial"/>
                <w:b/>
                <w:bCs/>
                <w:color w:val="FFFFFF"/>
                <w:sz w:val="20"/>
                <w:szCs w:val="20"/>
                <w:lang w:eastAsia="fr-FR"/>
              </w:rPr>
            </w:pPr>
            <w:r w:rsidRPr="00952DE3">
              <w:rPr>
                <w:rFonts w:ascii="Arial" w:eastAsia="Times New Roman" w:hAnsi="Arial" w:cs="Arial"/>
                <w:b/>
                <w:bCs/>
                <w:color w:val="FFFFFF"/>
                <w:sz w:val="20"/>
                <w:szCs w:val="20"/>
                <w:lang w:eastAsia="fr-FR"/>
              </w:rPr>
              <w:t>Notes</w:t>
            </w:r>
          </w:p>
        </w:tc>
        <w:tc>
          <w:tcPr>
            <w:tcW w:w="12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8E30C9" w14:textId="06F04910" w:rsidR="00952DE3" w:rsidRPr="00952DE3" w:rsidRDefault="00C10048" w:rsidP="00952DE3">
            <w:pPr>
              <w:spacing w:after="0" w:line="240" w:lineRule="auto"/>
              <w:jc w:val="center"/>
              <w:rPr>
                <w:rFonts w:ascii="Arial" w:eastAsia="Times New Roman" w:hAnsi="Arial" w:cs="Arial"/>
                <w:b/>
                <w:bCs/>
                <w:sz w:val="16"/>
                <w:szCs w:val="16"/>
                <w:lang w:eastAsia="fr-FR"/>
              </w:rPr>
            </w:pPr>
            <w:r w:rsidRPr="00303708">
              <w:rPr>
                <w:rFonts w:ascii="Arial" w:eastAsia="Times New Roman" w:hAnsi="Arial" w:cs="Arial"/>
                <w:b/>
                <w:bCs/>
                <w:sz w:val="16"/>
                <w:szCs w:val="16"/>
                <w:lang w:eastAsia="fr-FR"/>
              </w:rPr>
              <w:t>31 MARS 2025</w:t>
            </w:r>
          </w:p>
        </w:tc>
        <w:tc>
          <w:tcPr>
            <w:tcW w:w="208" w:type="dxa"/>
            <w:tcBorders>
              <w:top w:val="nil"/>
              <w:left w:val="nil"/>
              <w:bottom w:val="nil"/>
              <w:right w:val="nil"/>
            </w:tcBorders>
            <w:shd w:val="clear" w:color="000000" w:fill="FFFFFF"/>
            <w:vAlign w:val="center"/>
            <w:hideMark/>
          </w:tcPr>
          <w:p w14:paraId="32F26ACF" w14:textId="77777777" w:rsidR="00952DE3" w:rsidRPr="00952DE3" w:rsidRDefault="00952DE3" w:rsidP="00952DE3">
            <w:pPr>
              <w:spacing w:after="0" w:line="240" w:lineRule="auto"/>
              <w:jc w:val="center"/>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F84E3C" w14:textId="4336F844" w:rsidR="00952DE3" w:rsidRPr="00952DE3" w:rsidRDefault="00C10048" w:rsidP="00952DE3">
            <w:pPr>
              <w:spacing w:after="0" w:line="240" w:lineRule="auto"/>
              <w:jc w:val="center"/>
              <w:rPr>
                <w:rFonts w:ascii="Arial" w:eastAsia="Times New Roman" w:hAnsi="Arial" w:cs="Arial"/>
                <w:b/>
                <w:bCs/>
                <w:sz w:val="16"/>
                <w:szCs w:val="16"/>
                <w:lang w:eastAsia="fr-FR"/>
              </w:rPr>
            </w:pPr>
            <w:r w:rsidRPr="00303708">
              <w:rPr>
                <w:rFonts w:ascii="Arial" w:eastAsia="Times New Roman" w:hAnsi="Arial" w:cs="Arial"/>
                <w:b/>
                <w:bCs/>
                <w:sz w:val="16"/>
                <w:szCs w:val="16"/>
                <w:lang w:eastAsia="fr-FR"/>
              </w:rPr>
              <w:t>31 MARS 202</w:t>
            </w:r>
            <w:r>
              <w:rPr>
                <w:rFonts w:ascii="Arial" w:eastAsia="Times New Roman" w:hAnsi="Arial" w:cs="Arial"/>
                <w:b/>
                <w:bCs/>
                <w:sz w:val="16"/>
                <w:szCs w:val="16"/>
                <w:lang w:eastAsia="fr-FR"/>
              </w:rPr>
              <w:t>4</w:t>
            </w:r>
          </w:p>
        </w:tc>
        <w:tc>
          <w:tcPr>
            <w:tcW w:w="208" w:type="dxa"/>
            <w:tcBorders>
              <w:top w:val="nil"/>
              <w:left w:val="nil"/>
              <w:bottom w:val="nil"/>
              <w:right w:val="nil"/>
            </w:tcBorders>
            <w:shd w:val="clear" w:color="000000" w:fill="FFFFFF"/>
            <w:vAlign w:val="center"/>
            <w:hideMark/>
          </w:tcPr>
          <w:p w14:paraId="08DE0EC5" w14:textId="77777777" w:rsidR="00952DE3" w:rsidRPr="00952DE3" w:rsidRDefault="00952DE3" w:rsidP="00952DE3">
            <w:pPr>
              <w:spacing w:after="0" w:line="240" w:lineRule="auto"/>
              <w:jc w:val="center"/>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E94D2B" w14:textId="3F8533F5" w:rsidR="00952DE3" w:rsidRPr="00952DE3" w:rsidRDefault="00952DE3" w:rsidP="00952DE3">
            <w:pPr>
              <w:spacing w:after="0" w:line="240" w:lineRule="auto"/>
              <w:jc w:val="center"/>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 xml:space="preserve">Variation </w:t>
            </w:r>
            <w:r w:rsidR="00C10048">
              <w:rPr>
                <w:rFonts w:ascii="Arial" w:eastAsia="Times New Roman" w:hAnsi="Arial" w:cs="Arial"/>
                <w:b/>
                <w:bCs/>
                <w:sz w:val="16"/>
                <w:szCs w:val="16"/>
                <w:lang w:eastAsia="fr-FR"/>
              </w:rPr>
              <w:t>e</w:t>
            </w:r>
            <w:r w:rsidRPr="00952DE3">
              <w:rPr>
                <w:rFonts w:ascii="Arial" w:eastAsia="Times New Roman" w:hAnsi="Arial" w:cs="Arial"/>
                <w:b/>
                <w:bCs/>
                <w:sz w:val="16"/>
                <w:szCs w:val="16"/>
                <w:lang w:eastAsia="fr-FR"/>
              </w:rPr>
              <w:t>n €</w:t>
            </w:r>
          </w:p>
        </w:tc>
        <w:tc>
          <w:tcPr>
            <w:tcW w:w="208" w:type="dxa"/>
            <w:tcBorders>
              <w:top w:val="nil"/>
              <w:left w:val="nil"/>
              <w:bottom w:val="nil"/>
              <w:right w:val="nil"/>
            </w:tcBorders>
            <w:shd w:val="clear" w:color="000000" w:fill="FFFFFF"/>
            <w:vAlign w:val="center"/>
            <w:hideMark/>
          </w:tcPr>
          <w:p w14:paraId="16424DE7" w14:textId="77777777" w:rsidR="00952DE3" w:rsidRPr="00952DE3" w:rsidRDefault="00952DE3" w:rsidP="00952DE3">
            <w:pPr>
              <w:spacing w:after="0" w:line="240" w:lineRule="auto"/>
              <w:jc w:val="center"/>
              <w:rPr>
                <w:rFonts w:ascii="Arial" w:eastAsia="Times New Roman" w:hAnsi="Arial" w:cs="Arial"/>
                <w:b/>
                <w:bCs/>
                <w:sz w:val="16"/>
                <w:szCs w:val="16"/>
                <w:lang w:eastAsia="fr-FR"/>
              </w:rPr>
            </w:pP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B3643F" w14:textId="177A914B" w:rsidR="00952DE3" w:rsidRPr="00952DE3" w:rsidRDefault="00952DE3" w:rsidP="00952DE3">
            <w:pPr>
              <w:spacing w:after="0" w:line="240" w:lineRule="auto"/>
              <w:jc w:val="center"/>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 xml:space="preserve">Variation </w:t>
            </w:r>
            <w:r w:rsidR="00C10048">
              <w:rPr>
                <w:rFonts w:ascii="Arial" w:eastAsia="Times New Roman" w:hAnsi="Arial" w:cs="Arial"/>
                <w:b/>
                <w:bCs/>
                <w:sz w:val="16"/>
                <w:szCs w:val="16"/>
                <w:lang w:eastAsia="fr-FR"/>
              </w:rPr>
              <w:t>e</w:t>
            </w:r>
            <w:r w:rsidRPr="00952DE3">
              <w:rPr>
                <w:rFonts w:ascii="Arial" w:eastAsia="Times New Roman" w:hAnsi="Arial" w:cs="Arial"/>
                <w:b/>
                <w:bCs/>
                <w:sz w:val="16"/>
                <w:szCs w:val="16"/>
                <w:lang w:eastAsia="fr-FR"/>
              </w:rPr>
              <w:t>n %</w:t>
            </w:r>
          </w:p>
        </w:tc>
      </w:tr>
      <w:tr w:rsidR="00952DE3" w:rsidRPr="00952DE3" w14:paraId="6C3A7D29" w14:textId="77777777" w:rsidTr="0038631B">
        <w:trPr>
          <w:trHeight w:val="329"/>
        </w:trPr>
        <w:tc>
          <w:tcPr>
            <w:tcW w:w="3582" w:type="dxa"/>
            <w:tcBorders>
              <w:top w:val="nil"/>
              <w:left w:val="nil"/>
              <w:bottom w:val="nil"/>
              <w:right w:val="nil"/>
            </w:tcBorders>
            <w:shd w:val="clear" w:color="000000" w:fill="FFFFFF"/>
            <w:noWrap/>
            <w:vAlign w:val="bottom"/>
            <w:hideMark/>
          </w:tcPr>
          <w:p w14:paraId="1FC63B75" w14:textId="77777777" w:rsidR="00952DE3" w:rsidRPr="00952DE3" w:rsidRDefault="00952DE3" w:rsidP="00952DE3">
            <w:pPr>
              <w:spacing w:after="0" w:line="240" w:lineRule="auto"/>
              <w:jc w:val="center"/>
              <w:rPr>
                <w:rFonts w:ascii="Arial" w:eastAsia="Times New Roman" w:hAnsi="Arial" w:cs="Arial"/>
                <w:b/>
                <w:bCs/>
                <w:sz w:val="16"/>
                <w:szCs w:val="16"/>
                <w:lang w:eastAsia="fr-FR"/>
              </w:rPr>
            </w:pPr>
          </w:p>
        </w:tc>
        <w:tc>
          <w:tcPr>
            <w:tcW w:w="2077" w:type="dxa"/>
            <w:gridSpan w:val="2"/>
            <w:tcBorders>
              <w:top w:val="nil"/>
              <w:left w:val="nil"/>
              <w:bottom w:val="nil"/>
              <w:right w:val="nil"/>
            </w:tcBorders>
            <w:shd w:val="clear" w:color="000000" w:fill="FFFFFF"/>
            <w:noWrap/>
            <w:vAlign w:val="bottom"/>
            <w:hideMark/>
          </w:tcPr>
          <w:p w14:paraId="12E3AD88" w14:textId="77777777" w:rsidR="00952DE3" w:rsidRPr="00952DE3" w:rsidRDefault="00952DE3" w:rsidP="00952DE3">
            <w:pPr>
              <w:spacing w:after="0" w:line="240" w:lineRule="auto"/>
              <w:rPr>
                <w:rFonts w:ascii="Times New Roman" w:eastAsia="Times New Roman" w:hAnsi="Times New Roman"/>
                <w:sz w:val="20"/>
                <w:szCs w:val="20"/>
                <w:lang w:eastAsia="fr-FR"/>
              </w:rPr>
            </w:pPr>
          </w:p>
        </w:tc>
        <w:tc>
          <w:tcPr>
            <w:tcW w:w="1575" w:type="dxa"/>
            <w:gridSpan w:val="2"/>
            <w:tcBorders>
              <w:top w:val="nil"/>
              <w:left w:val="nil"/>
              <w:bottom w:val="nil"/>
              <w:right w:val="nil"/>
            </w:tcBorders>
            <w:shd w:val="clear" w:color="000000" w:fill="FFFFFF"/>
            <w:noWrap/>
            <w:vAlign w:val="bottom"/>
            <w:hideMark/>
          </w:tcPr>
          <w:p w14:paraId="4384EC75" w14:textId="77777777" w:rsidR="00952DE3" w:rsidRPr="00952DE3" w:rsidRDefault="00952DE3" w:rsidP="00952DE3">
            <w:pPr>
              <w:spacing w:after="0" w:line="240" w:lineRule="auto"/>
              <w:rPr>
                <w:rFonts w:ascii="Times New Roman" w:eastAsia="Times New Roman" w:hAnsi="Times New Roman"/>
                <w:sz w:val="20"/>
                <w:szCs w:val="20"/>
                <w:lang w:eastAsia="fr-FR"/>
              </w:rPr>
            </w:pPr>
          </w:p>
        </w:tc>
        <w:tc>
          <w:tcPr>
            <w:tcW w:w="1575" w:type="dxa"/>
            <w:gridSpan w:val="2"/>
            <w:tcBorders>
              <w:top w:val="nil"/>
              <w:left w:val="nil"/>
              <w:bottom w:val="nil"/>
              <w:right w:val="nil"/>
            </w:tcBorders>
            <w:shd w:val="clear" w:color="000000" w:fill="FFFFFF"/>
            <w:noWrap/>
            <w:vAlign w:val="bottom"/>
            <w:hideMark/>
          </w:tcPr>
          <w:p w14:paraId="5D702B3B" w14:textId="77777777" w:rsidR="00952DE3" w:rsidRPr="00952DE3" w:rsidRDefault="00952DE3" w:rsidP="00952DE3">
            <w:pPr>
              <w:spacing w:after="0" w:line="240" w:lineRule="auto"/>
              <w:rPr>
                <w:rFonts w:ascii="Times New Roman" w:eastAsia="Times New Roman" w:hAnsi="Times New Roman"/>
                <w:sz w:val="20"/>
                <w:szCs w:val="20"/>
                <w:lang w:eastAsia="fr-FR"/>
              </w:rPr>
            </w:pPr>
          </w:p>
        </w:tc>
        <w:tc>
          <w:tcPr>
            <w:tcW w:w="1644" w:type="dxa"/>
            <w:gridSpan w:val="2"/>
            <w:tcBorders>
              <w:top w:val="nil"/>
              <w:left w:val="nil"/>
              <w:bottom w:val="nil"/>
              <w:right w:val="nil"/>
            </w:tcBorders>
            <w:shd w:val="clear" w:color="000000" w:fill="FFFFFF"/>
            <w:noWrap/>
            <w:vAlign w:val="bottom"/>
            <w:hideMark/>
          </w:tcPr>
          <w:p w14:paraId="33375166" w14:textId="77777777" w:rsidR="00952DE3" w:rsidRPr="00952DE3" w:rsidRDefault="00952DE3" w:rsidP="00952DE3">
            <w:pPr>
              <w:spacing w:after="0" w:line="240" w:lineRule="auto"/>
              <w:rPr>
                <w:rFonts w:ascii="Times New Roman" w:eastAsia="Times New Roman" w:hAnsi="Times New Roman"/>
                <w:sz w:val="20"/>
                <w:szCs w:val="20"/>
                <w:lang w:eastAsia="fr-FR"/>
              </w:rPr>
            </w:pPr>
          </w:p>
        </w:tc>
      </w:tr>
      <w:tr w:rsidR="00952DE3" w:rsidRPr="00952DE3" w14:paraId="3211C33A" w14:textId="77777777" w:rsidTr="0038631B">
        <w:trPr>
          <w:trHeight w:val="329"/>
        </w:trPr>
        <w:tc>
          <w:tcPr>
            <w:tcW w:w="3582" w:type="dxa"/>
            <w:tcBorders>
              <w:top w:val="single" w:sz="4" w:space="0" w:color="000000"/>
              <w:left w:val="single" w:sz="4" w:space="0" w:color="auto"/>
              <w:bottom w:val="nil"/>
              <w:right w:val="single" w:sz="4" w:space="0" w:color="auto"/>
            </w:tcBorders>
            <w:shd w:val="clear" w:color="000000" w:fill="FFFFFF"/>
            <w:noWrap/>
            <w:vAlign w:val="bottom"/>
            <w:hideMark/>
          </w:tcPr>
          <w:p w14:paraId="1AE07633" w14:textId="77777777" w:rsidR="00952DE3" w:rsidRPr="00952DE3" w:rsidRDefault="00952DE3" w:rsidP="00952DE3">
            <w:pPr>
              <w:spacing w:after="0" w:line="240" w:lineRule="auto"/>
              <w:rPr>
                <w:rFonts w:ascii="Arial" w:eastAsia="Times New Roman" w:hAnsi="Arial" w:cs="Arial"/>
                <w:sz w:val="16"/>
                <w:szCs w:val="16"/>
                <w:lang w:eastAsia="fr-FR"/>
              </w:rPr>
            </w:pPr>
            <w:r w:rsidRPr="00952DE3">
              <w:rPr>
                <w:rFonts w:ascii="Arial" w:eastAsia="Times New Roman" w:hAnsi="Arial" w:cs="Arial"/>
                <w:sz w:val="16"/>
                <w:szCs w:val="16"/>
                <w:lang w:eastAsia="fr-FR"/>
              </w:rPr>
              <w:t>Chiffre d'affaires net</w:t>
            </w:r>
          </w:p>
        </w:tc>
        <w:tc>
          <w:tcPr>
            <w:tcW w:w="806" w:type="dxa"/>
            <w:tcBorders>
              <w:top w:val="nil"/>
              <w:left w:val="nil"/>
              <w:bottom w:val="nil"/>
              <w:right w:val="nil"/>
            </w:tcBorders>
            <w:shd w:val="clear" w:color="000000" w:fill="FFFFFF"/>
            <w:noWrap/>
            <w:vAlign w:val="bottom"/>
            <w:hideMark/>
          </w:tcPr>
          <w:p w14:paraId="30233003" w14:textId="77777777" w:rsidR="00952DE3" w:rsidRPr="00952DE3" w:rsidRDefault="00952DE3" w:rsidP="00952DE3">
            <w:pPr>
              <w:spacing w:after="0" w:line="240" w:lineRule="auto"/>
              <w:rPr>
                <w:rFonts w:ascii="Arial" w:eastAsia="Times New Roman" w:hAnsi="Arial" w:cs="Arial"/>
                <w:sz w:val="16"/>
                <w:szCs w:val="16"/>
                <w:lang w:eastAsia="fr-FR"/>
              </w:rPr>
            </w:pPr>
          </w:p>
        </w:tc>
        <w:tc>
          <w:tcPr>
            <w:tcW w:w="1271" w:type="dxa"/>
            <w:tcBorders>
              <w:top w:val="single" w:sz="4" w:space="0" w:color="000000"/>
              <w:left w:val="single" w:sz="4" w:space="0" w:color="auto"/>
              <w:bottom w:val="nil"/>
              <w:right w:val="single" w:sz="4" w:space="0" w:color="auto"/>
            </w:tcBorders>
            <w:shd w:val="clear" w:color="000000" w:fill="FFFFFF"/>
            <w:noWrap/>
            <w:vAlign w:val="bottom"/>
            <w:hideMark/>
          </w:tcPr>
          <w:p w14:paraId="50F5A061"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74 011 747</w:t>
            </w:r>
          </w:p>
        </w:tc>
        <w:tc>
          <w:tcPr>
            <w:tcW w:w="208" w:type="dxa"/>
            <w:tcBorders>
              <w:top w:val="nil"/>
              <w:left w:val="nil"/>
              <w:bottom w:val="nil"/>
              <w:right w:val="nil"/>
            </w:tcBorders>
            <w:shd w:val="clear" w:color="000000" w:fill="FFFFFF"/>
            <w:noWrap/>
            <w:vAlign w:val="bottom"/>
            <w:hideMark/>
          </w:tcPr>
          <w:p w14:paraId="7A169967"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single" w:sz="4" w:space="0" w:color="000000"/>
              <w:left w:val="single" w:sz="4" w:space="0" w:color="auto"/>
              <w:bottom w:val="nil"/>
              <w:right w:val="single" w:sz="4" w:space="0" w:color="auto"/>
            </w:tcBorders>
            <w:shd w:val="clear" w:color="000000" w:fill="FFFFFF"/>
            <w:noWrap/>
            <w:vAlign w:val="bottom"/>
            <w:hideMark/>
          </w:tcPr>
          <w:p w14:paraId="50080166"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58 620 967</w:t>
            </w:r>
          </w:p>
        </w:tc>
        <w:tc>
          <w:tcPr>
            <w:tcW w:w="208" w:type="dxa"/>
            <w:tcBorders>
              <w:top w:val="nil"/>
              <w:left w:val="nil"/>
              <w:bottom w:val="nil"/>
              <w:right w:val="nil"/>
            </w:tcBorders>
            <w:shd w:val="clear" w:color="000000" w:fill="FFFFFF"/>
            <w:noWrap/>
            <w:vAlign w:val="bottom"/>
            <w:hideMark/>
          </w:tcPr>
          <w:p w14:paraId="5E2A7EFE"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single" w:sz="4" w:space="0" w:color="000000"/>
              <w:left w:val="single" w:sz="4" w:space="0" w:color="auto"/>
              <w:bottom w:val="nil"/>
              <w:right w:val="single" w:sz="4" w:space="0" w:color="auto"/>
            </w:tcBorders>
            <w:shd w:val="clear" w:color="000000" w:fill="FFFFFF"/>
            <w:noWrap/>
            <w:vAlign w:val="bottom"/>
            <w:hideMark/>
          </w:tcPr>
          <w:p w14:paraId="1F56C76B"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15 390 780</w:t>
            </w:r>
          </w:p>
        </w:tc>
        <w:tc>
          <w:tcPr>
            <w:tcW w:w="208" w:type="dxa"/>
            <w:tcBorders>
              <w:top w:val="nil"/>
              <w:left w:val="nil"/>
              <w:bottom w:val="nil"/>
              <w:right w:val="nil"/>
            </w:tcBorders>
            <w:shd w:val="clear" w:color="000000" w:fill="FFFFFF"/>
            <w:noWrap/>
            <w:vAlign w:val="bottom"/>
            <w:hideMark/>
          </w:tcPr>
          <w:p w14:paraId="5F2D11FC"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436" w:type="dxa"/>
            <w:tcBorders>
              <w:top w:val="single" w:sz="4" w:space="0" w:color="000000"/>
              <w:left w:val="single" w:sz="4" w:space="0" w:color="auto"/>
              <w:bottom w:val="nil"/>
              <w:right w:val="single" w:sz="4" w:space="0" w:color="auto"/>
            </w:tcBorders>
            <w:shd w:val="clear" w:color="000000" w:fill="FFFFFF"/>
            <w:noWrap/>
            <w:vAlign w:val="bottom"/>
            <w:hideMark/>
          </w:tcPr>
          <w:p w14:paraId="5F17E0A3"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26,3%</w:t>
            </w:r>
          </w:p>
        </w:tc>
      </w:tr>
      <w:tr w:rsidR="00952DE3" w:rsidRPr="00952DE3" w14:paraId="383D80D0" w14:textId="77777777" w:rsidTr="0038631B">
        <w:trPr>
          <w:trHeight w:val="329"/>
        </w:trPr>
        <w:tc>
          <w:tcPr>
            <w:tcW w:w="3582" w:type="dxa"/>
            <w:tcBorders>
              <w:top w:val="nil"/>
              <w:left w:val="single" w:sz="4" w:space="0" w:color="auto"/>
              <w:bottom w:val="single" w:sz="4" w:space="0" w:color="auto"/>
              <w:right w:val="single" w:sz="4" w:space="0" w:color="auto"/>
            </w:tcBorders>
            <w:shd w:val="clear" w:color="000000" w:fill="FFFFFF"/>
            <w:noWrap/>
            <w:vAlign w:val="bottom"/>
            <w:hideMark/>
          </w:tcPr>
          <w:p w14:paraId="6E7B6521" w14:textId="77777777" w:rsidR="00952DE3" w:rsidRPr="00952DE3" w:rsidRDefault="00952DE3" w:rsidP="00952DE3">
            <w:pPr>
              <w:spacing w:after="0" w:line="240" w:lineRule="auto"/>
              <w:rPr>
                <w:rFonts w:ascii="Arial" w:eastAsia="Times New Roman" w:hAnsi="Arial" w:cs="Arial"/>
                <w:sz w:val="16"/>
                <w:szCs w:val="16"/>
                <w:lang w:eastAsia="fr-FR"/>
              </w:rPr>
            </w:pPr>
            <w:r w:rsidRPr="00952DE3">
              <w:rPr>
                <w:rFonts w:ascii="Arial" w:eastAsia="Times New Roman" w:hAnsi="Arial" w:cs="Arial"/>
                <w:sz w:val="16"/>
                <w:szCs w:val="16"/>
                <w:lang w:eastAsia="fr-FR"/>
              </w:rPr>
              <w:t>Coûts d'achat des produits vendus</w:t>
            </w:r>
          </w:p>
        </w:tc>
        <w:tc>
          <w:tcPr>
            <w:tcW w:w="806" w:type="dxa"/>
            <w:tcBorders>
              <w:top w:val="nil"/>
              <w:left w:val="nil"/>
              <w:bottom w:val="nil"/>
              <w:right w:val="nil"/>
            </w:tcBorders>
            <w:shd w:val="clear" w:color="000000" w:fill="FFFFFF"/>
            <w:noWrap/>
            <w:vAlign w:val="bottom"/>
            <w:hideMark/>
          </w:tcPr>
          <w:p w14:paraId="0EE393C2" w14:textId="77777777" w:rsidR="00952DE3" w:rsidRPr="00952DE3" w:rsidRDefault="00952DE3" w:rsidP="00952DE3">
            <w:pPr>
              <w:spacing w:after="0" w:line="240" w:lineRule="auto"/>
              <w:rPr>
                <w:rFonts w:ascii="Arial" w:eastAsia="Times New Roman" w:hAnsi="Arial" w:cs="Arial"/>
                <w:sz w:val="16"/>
                <w:szCs w:val="16"/>
                <w:lang w:eastAsia="fr-FR"/>
              </w:rPr>
            </w:pPr>
          </w:p>
        </w:tc>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4BA83B30"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-29 454 950</w:t>
            </w:r>
          </w:p>
        </w:tc>
        <w:tc>
          <w:tcPr>
            <w:tcW w:w="208" w:type="dxa"/>
            <w:tcBorders>
              <w:top w:val="nil"/>
              <w:left w:val="nil"/>
              <w:bottom w:val="nil"/>
              <w:right w:val="nil"/>
            </w:tcBorders>
            <w:shd w:val="clear" w:color="000000" w:fill="FFFFFF"/>
            <w:noWrap/>
            <w:vAlign w:val="bottom"/>
            <w:hideMark/>
          </w:tcPr>
          <w:p w14:paraId="0FF385BE"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single" w:sz="4" w:space="0" w:color="auto"/>
              <w:right w:val="single" w:sz="4" w:space="0" w:color="auto"/>
            </w:tcBorders>
            <w:shd w:val="clear" w:color="000000" w:fill="FFFFFF"/>
            <w:noWrap/>
            <w:vAlign w:val="bottom"/>
            <w:hideMark/>
          </w:tcPr>
          <w:p w14:paraId="0C5E93AE"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-23 534 525</w:t>
            </w:r>
          </w:p>
        </w:tc>
        <w:tc>
          <w:tcPr>
            <w:tcW w:w="208" w:type="dxa"/>
            <w:tcBorders>
              <w:top w:val="nil"/>
              <w:left w:val="nil"/>
              <w:bottom w:val="nil"/>
              <w:right w:val="nil"/>
            </w:tcBorders>
            <w:shd w:val="clear" w:color="000000" w:fill="FFFFFF"/>
            <w:noWrap/>
            <w:vAlign w:val="bottom"/>
            <w:hideMark/>
          </w:tcPr>
          <w:p w14:paraId="235442E5"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single" w:sz="4" w:space="0" w:color="auto"/>
              <w:right w:val="single" w:sz="4" w:space="0" w:color="auto"/>
            </w:tcBorders>
            <w:shd w:val="clear" w:color="000000" w:fill="FFFFFF"/>
            <w:noWrap/>
            <w:vAlign w:val="bottom"/>
            <w:hideMark/>
          </w:tcPr>
          <w:p w14:paraId="72970602"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-5 920 425</w:t>
            </w:r>
          </w:p>
        </w:tc>
        <w:tc>
          <w:tcPr>
            <w:tcW w:w="208" w:type="dxa"/>
            <w:tcBorders>
              <w:top w:val="nil"/>
              <w:left w:val="nil"/>
              <w:bottom w:val="nil"/>
              <w:right w:val="nil"/>
            </w:tcBorders>
            <w:shd w:val="clear" w:color="000000" w:fill="FFFFFF"/>
            <w:noWrap/>
            <w:vAlign w:val="bottom"/>
            <w:hideMark/>
          </w:tcPr>
          <w:p w14:paraId="26CE6B1F"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436" w:type="dxa"/>
            <w:tcBorders>
              <w:top w:val="nil"/>
              <w:left w:val="single" w:sz="4" w:space="0" w:color="auto"/>
              <w:bottom w:val="single" w:sz="4" w:space="0" w:color="auto"/>
              <w:right w:val="single" w:sz="4" w:space="0" w:color="auto"/>
            </w:tcBorders>
            <w:shd w:val="clear" w:color="000000" w:fill="FFFFFF"/>
            <w:noWrap/>
            <w:vAlign w:val="bottom"/>
            <w:hideMark/>
          </w:tcPr>
          <w:p w14:paraId="57F0496B"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25,2%</w:t>
            </w:r>
          </w:p>
        </w:tc>
      </w:tr>
      <w:tr w:rsidR="00952DE3" w:rsidRPr="00952DE3" w14:paraId="31860F8B" w14:textId="77777777" w:rsidTr="0038631B">
        <w:trPr>
          <w:trHeight w:val="329"/>
        </w:trPr>
        <w:tc>
          <w:tcPr>
            <w:tcW w:w="3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837777" w14:textId="77777777" w:rsidR="00952DE3" w:rsidRPr="00952DE3" w:rsidRDefault="00952DE3" w:rsidP="00952DE3">
            <w:pPr>
              <w:spacing w:after="0" w:line="240" w:lineRule="auto"/>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Marge brute</w:t>
            </w:r>
          </w:p>
        </w:tc>
        <w:tc>
          <w:tcPr>
            <w:tcW w:w="806" w:type="dxa"/>
            <w:tcBorders>
              <w:top w:val="nil"/>
              <w:left w:val="nil"/>
              <w:bottom w:val="nil"/>
              <w:right w:val="nil"/>
            </w:tcBorders>
            <w:shd w:val="clear" w:color="000000" w:fill="FFFFFF"/>
            <w:noWrap/>
            <w:vAlign w:val="bottom"/>
            <w:hideMark/>
          </w:tcPr>
          <w:p w14:paraId="108AEA26" w14:textId="77777777" w:rsidR="00952DE3" w:rsidRPr="00952DE3" w:rsidRDefault="00952DE3" w:rsidP="00952DE3">
            <w:pPr>
              <w:spacing w:after="0" w:line="240" w:lineRule="auto"/>
              <w:rPr>
                <w:rFonts w:ascii="Arial" w:eastAsia="Times New Roman" w:hAnsi="Arial" w:cs="Arial"/>
                <w:b/>
                <w:bCs/>
                <w:sz w:val="16"/>
                <w:szCs w:val="16"/>
                <w:lang w:eastAsia="fr-FR"/>
              </w:rPr>
            </w:pPr>
          </w:p>
        </w:tc>
        <w:tc>
          <w:tcPr>
            <w:tcW w:w="127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456615"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44 556 797</w:t>
            </w:r>
          </w:p>
        </w:tc>
        <w:tc>
          <w:tcPr>
            <w:tcW w:w="208" w:type="dxa"/>
            <w:tcBorders>
              <w:top w:val="nil"/>
              <w:left w:val="nil"/>
              <w:bottom w:val="nil"/>
              <w:right w:val="nil"/>
            </w:tcBorders>
            <w:shd w:val="clear" w:color="000000" w:fill="FFFFFF"/>
            <w:noWrap/>
            <w:vAlign w:val="bottom"/>
            <w:hideMark/>
          </w:tcPr>
          <w:p w14:paraId="4D6A08E6"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42E27"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35 086 442</w:t>
            </w:r>
          </w:p>
        </w:tc>
        <w:tc>
          <w:tcPr>
            <w:tcW w:w="208" w:type="dxa"/>
            <w:tcBorders>
              <w:top w:val="nil"/>
              <w:left w:val="nil"/>
              <w:bottom w:val="nil"/>
              <w:right w:val="nil"/>
            </w:tcBorders>
            <w:shd w:val="clear" w:color="000000" w:fill="FFFFFF"/>
            <w:noWrap/>
            <w:vAlign w:val="bottom"/>
            <w:hideMark/>
          </w:tcPr>
          <w:p w14:paraId="07CB7CC4"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E2294"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9 470 355</w:t>
            </w:r>
          </w:p>
        </w:tc>
        <w:tc>
          <w:tcPr>
            <w:tcW w:w="208" w:type="dxa"/>
            <w:tcBorders>
              <w:top w:val="nil"/>
              <w:left w:val="nil"/>
              <w:bottom w:val="nil"/>
              <w:right w:val="nil"/>
            </w:tcBorders>
            <w:shd w:val="clear" w:color="000000" w:fill="FFFFFF"/>
            <w:noWrap/>
            <w:vAlign w:val="bottom"/>
            <w:hideMark/>
          </w:tcPr>
          <w:p w14:paraId="16014429"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09BCE"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27,0%</w:t>
            </w:r>
          </w:p>
        </w:tc>
      </w:tr>
      <w:tr w:rsidR="00952DE3" w:rsidRPr="00952DE3" w14:paraId="1C6EBF90" w14:textId="77777777" w:rsidTr="0038631B">
        <w:trPr>
          <w:trHeight w:val="329"/>
        </w:trPr>
        <w:tc>
          <w:tcPr>
            <w:tcW w:w="3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0F1BF0" w14:textId="77777777" w:rsidR="00952DE3" w:rsidRPr="00952DE3" w:rsidRDefault="00952DE3" w:rsidP="00952DE3">
            <w:pPr>
              <w:spacing w:after="0" w:line="240" w:lineRule="auto"/>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Taux de marge brute</w:t>
            </w:r>
          </w:p>
        </w:tc>
        <w:tc>
          <w:tcPr>
            <w:tcW w:w="806" w:type="dxa"/>
            <w:tcBorders>
              <w:top w:val="nil"/>
              <w:left w:val="nil"/>
              <w:bottom w:val="nil"/>
              <w:right w:val="nil"/>
            </w:tcBorders>
            <w:shd w:val="clear" w:color="000000" w:fill="FFFFFF"/>
            <w:noWrap/>
            <w:vAlign w:val="bottom"/>
            <w:hideMark/>
          </w:tcPr>
          <w:p w14:paraId="01AFBB3B" w14:textId="77777777" w:rsidR="00952DE3" w:rsidRPr="00952DE3" w:rsidRDefault="00952DE3" w:rsidP="00952DE3">
            <w:pPr>
              <w:spacing w:after="0" w:line="240" w:lineRule="auto"/>
              <w:rPr>
                <w:rFonts w:ascii="Arial" w:eastAsia="Times New Roman" w:hAnsi="Arial" w:cs="Arial"/>
                <w:b/>
                <w:bCs/>
                <w:sz w:val="16"/>
                <w:szCs w:val="16"/>
                <w:lang w:eastAsia="fr-FR"/>
              </w:rPr>
            </w:pPr>
          </w:p>
        </w:tc>
        <w:tc>
          <w:tcPr>
            <w:tcW w:w="127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AE6F6B"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60,2%</w:t>
            </w:r>
          </w:p>
        </w:tc>
        <w:tc>
          <w:tcPr>
            <w:tcW w:w="208" w:type="dxa"/>
            <w:tcBorders>
              <w:top w:val="nil"/>
              <w:left w:val="nil"/>
              <w:bottom w:val="nil"/>
              <w:right w:val="nil"/>
            </w:tcBorders>
            <w:shd w:val="clear" w:color="000000" w:fill="FFFFFF"/>
            <w:noWrap/>
            <w:vAlign w:val="bottom"/>
            <w:hideMark/>
          </w:tcPr>
          <w:p w14:paraId="37F5436D"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87820"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59,9%</w:t>
            </w:r>
          </w:p>
        </w:tc>
        <w:tc>
          <w:tcPr>
            <w:tcW w:w="208" w:type="dxa"/>
            <w:tcBorders>
              <w:top w:val="nil"/>
              <w:left w:val="nil"/>
              <w:bottom w:val="nil"/>
              <w:right w:val="nil"/>
            </w:tcBorders>
            <w:shd w:val="clear" w:color="000000" w:fill="FFFFFF"/>
            <w:noWrap/>
            <w:vAlign w:val="bottom"/>
            <w:hideMark/>
          </w:tcPr>
          <w:p w14:paraId="4695410F"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DC9B1" w14:textId="77777777" w:rsidR="00952DE3" w:rsidRPr="00952DE3" w:rsidRDefault="00952DE3" w:rsidP="00952DE3">
            <w:pPr>
              <w:spacing w:after="0" w:line="240" w:lineRule="auto"/>
              <w:rPr>
                <w:rFonts w:ascii="Times New Roman" w:eastAsia="Times New Roman" w:hAnsi="Times New Roman"/>
                <w:sz w:val="16"/>
                <w:szCs w:val="16"/>
                <w:lang w:eastAsia="fr-FR"/>
              </w:rPr>
            </w:pPr>
          </w:p>
        </w:tc>
        <w:tc>
          <w:tcPr>
            <w:tcW w:w="208" w:type="dxa"/>
            <w:tcBorders>
              <w:top w:val="nil"/>
              <w:left w:val="nil"/>
              <w:bottom w:val="nil"/>
              <w:right w:val="nil"/>
            </w:tcBorders>
            <w:shd w:val="clear" w:color="000000" w:fill="FFFFFF"/>
            <w:noWrap/>
            <w:vAlign w:val="bottom"/>
            <w:hideMark/>
          </w:tcPr>
          <w:p w14:paraId="4B5F850F" w14:textId="77777777" w:rsidR="00952DE3" w:rsidRPr="00952DE3" w:rsidRDefault="00952DE3" w:rsidP="00952DE3">
            <w:pPr>
              <w:spacing w:after="0" w:line="240" w:lineRule="auto"/>
              <w:rPr>
                <w:rFonts w:ascii="Times New Roman" w:eastAsia="Times New Roman" w:hAnsi="Times New Roman"/>
                <w:sz w:val="16"/>
                <w:szCs w:val="16"/>
                <w:lang w:eastAsia="fr-FR"/>
              </w:rPr>
            </w:pP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8070A9"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0,6%</w:t>
            </w:r>
          </w:p>
        </w:tc>
      </w:tr>
      <w:tr w:rsidR="00952DE3" w:rsidRPr="00952DE3" w14:paraId="5E4E6504" w14:textId="77777777" w:rsidTr="0038631B">
        <w:trPr>
          <w:trHeight w:val="329"/>
        </w:trPr>
        <w:tc>
          <w:tcPr>
            <w:tcW w:w="3582" w:type="dxa"/>
            <w:tcBorders>
              <w:top w:val="nil"/>
              <w:left w:val="single" w:sz="4" w:space="0" w:color="auto"/>
              <w:bottom w:val="nil"/>
              <w:right w:val="single" w:sz="4" w:space="0" w:color="auto"/>
            </w:tcBorders>
            <w:shd w:val="clear" w:color="000000" w:fill="FFFFFF"/>
            <w:noWrap/>
            <w:vAlign w:val="bottom"/>
            <w:hideMark/>
          </w:tcPr>
          <w:p w14:paraId="5FB7CBAE" w14:textId="77777777" w:rsidR="00952DE3" w:rsidRPr="00952DE3" w:rsidRDefault="00952DE3" w:rsidP="00952DE3">
            <w:pPr>
              <w:spacing w:after="0" w:line="240" w:lineRule="auto"/>
              <w:rPr>
                <w:rFonts w:ascii="Arial" w:eastAsia="Times New Roman" w:hAnsi="Arial" w:cs="Arial"/>
                <w:sz w:val="16"/>
                <w:szCs w:val="16"/>
                <w:lang w:eastAsia="fr-FR"/>
              </w:rPr>
            </w:pPr>
            <w:r w:rsidRPr="00952DE3">
              <w:rPr>
                <w:rFonts w:ascii="Arial" w:eastAsia="Times New Roman" w:hAnsi="Arial" w:cs="Arial"/>
                <w:sz w:val="16"/>
                <w:szCs w:val="16"/>
                <w:lang w:eastAsia="fr-FR"/>
              </w:rPr>
              <w:t>Impact net de change</w:t>
            </w:r>
          </w:p>
        </w:tc>
        <w:tc>
          <w:tcPr>
            <w:tcW w:w="806" w:type="dxa"/>
            <w:tcBorders>
              <w:top w:val="nil"/>
              <w:left w:val="nil"/>
              <w:bottom w:val="nil"/>
              <w:right w:val="nil"/>
            </w:tcBorders>
            <w:shd w:val="clear" w:color="000000" w:fill="FFFFFF"/>
            <w:noWrap/>
            <w:vAlign w:val="bottom"/>
            <w:hideMark/>
          </w:tcPr>
          <w:p w14:paraId="290DC048" w14:textId="77777777" w:rsidR="00952DE3" w:rsidRPr="00952DE3" w:rsidRDefault="00952DE3" w:rsidP="00952DE3">
            <w:pPr>
              <w:spacing w:after="0" w:line="240" w:lineRule="auto"/>
              <w:jc w:val="center"/>
              <w:rPr>
                <w:rFonts w:ascii="Arial" w:eastAsia="Times New Roman" w:hAnsi="Arial" w:cs="Arial"/>
                <w:color w:val="FFFFFF"/>
                <w:sz w:val="16"/>
                <w:szCs w:val="16"/>
                <w:lang w:eastAsia="fr-FR"/>
              </w:rPr>
            </w:pPr>
            <w:r w:rsidRPr="00952DE3">
              <w:rPr>
                <w:rFonts w:ascii="Arial" w:eastAsia="Times New Roman" w:hAnsi="Arial" w:cs="Arial"/>
                <w:color w:val="FFFFFF"/>
                <w:sz w:val="16"/>
                <w:szCs w:val="16"/>
                <w:lang w:eastAsia="fr-FR"/>
              </w:rPr>
              <w:t>22</w:t>
            </w:r>
          </w:p>
        </w:tc>
        <w:tc>
          <w:tcPr>
            <w:tcW w:w="1271" w:type="dxa"/>
            <w:tcBorders>
              <w:top w:val="nil"/>
              <w:left w:val="single" w:sz="4" w:space="0" w:color="auto"/>
              <w:bottom w:val="nil"/>
              <w:right w:val="single" w:sz="4" w:space="0" w:color="auto"/>
            </w:tcBorders>
            <w:shd w:val="clear" w:color="000000" w:fill="FFFFFF"/>
            <w:noWrap/>
            <w:vAlign w:val="bottom"/>
            <w:hideMark/>
          </w:tcPr>
          <w:p w14:paraId="0F965D7B"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504 441</w:t>
            </w:r>
          </w:p>
        </w:tc>
        <w:tc>
          <w:tcPr>
            <w:tcW w:w="208" w:type="dxa"/>
            <w:tcBorders>
              <w:top w:val="nil"/>
              <w:left w:val="nil"/>
              <w:bottom w:val="nil"/>
              <w:right w:val="nil"/>
            </w:tcBorders>
            <w:shd w:val="clear" w:color="000000" w:fill="FFFFFF"/>
            <w:noWrap/>
            <w:vAlign w:val="bottom"/>
            <w:hideMark/>
          </w:tcPr>
          <w:p w14:paraId="168CEA90"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nil"/>
              <w:right w:val="single" w:sz="4" w:space="0" w:color="auto"/>
            </w:tcBorders>
            <w:shd w:val="clear" w:color="000000" w:fill="FFFFFF"/>
            <w:noWrap/>
            <w:vAlign w:val="bottom"/>
            <w:hideMark/>
          </w:tcPr>
          <w:p w14:paraId="370F569A"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331 147</w:t>
            </w:r>
          </w:p>
        </w:tc>
        <w:tc>
          <w:tcPr>
            <w:tcW w:w="208" w:type="dxa"/>
            <w:tcBorders>
              <w:top w:val="nil"/>
              <w:left w:val="nil"/>
              <w:bottom w:val="nil"/>
              <w:right w:val="nil"/>
            </w:tcBorders>
            <w:shd w:val="clear" w:color="000000" w:fill="FFFFFF"/>
            <w:noWrap/>
            <w:vAlign w:val="bottom"/>
            <w:hideMark/>
          </w:tcPr>
          <w:p w14:paraId="627A25F0"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nil"/>
              <w:right w:val="single" w:sz="4" w:space="0" w:color="auto"/>
            </w:tcBorders>
            <w:shd w:val="clear" w:color="000000" w:fill="FFFFFF"/>
            <w:noWrap/>
            <w:vAlign w:val="bottom"/>
            <w:hideMark/>
          </w:tcPr>
          <w:p w14:paraId="030E59C8"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173 294</w:t>
            </w:r>
          </w:p>
        </w:tc>
        <w:tc>
          <w:tcPr>
            <w:tcW w:w="208" w:type="dxa"/>
            <w:tcBorders>
              <w:top w:val="nil"/>
              <w:left w:val="nil"/>
              <w:bottom w:val="nil"/>
              <w:right w:val="nil"/>
            </w:tcBorders>
            <w:shd w:val="clear" w:color="000000" w:fill="FFFFFF"/>
            <w:noWrap/>
            <w:vAlign w:val="bottom"/>
            <w:hideMark/>
          </w:tcPr>
          <w:p w14:paraId="58970F38"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436" w:type="dxa"/>
            <w:tcBorders>
              <w:top w:val="nil"/>
              <w:left w:val="single" w:sz="4" w:space="0" w:color="auto"/>
              <w:bottom w:val="nil"/>
              <w:right w:val="single" w:sz="4" w:space="0" w:color="auto"/>
            </w:tcBorders>
            <w:shd w:val="clear" w:color="000000" w:fill="FFFFFF"/>
            <w:noWrap/>
            <w:vAlign w:val="bottom"/>
            <w:hideMark/>
          </w:tcPr>
          <w:p w14:paraId="362FAEB7"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52,3%</w:t>
            </w:r>
          </w:p>
        </w:tc>
      </w:tr>
      <w:tr w:rsidR="00952DE3" w:rsidRPr="00952DE3" w14:paraId="4618A91F" w14:textId="77777777" w:rsidTr="0038631B">
        <w:trPr>
          <w:trHeight w:val="329"/>
        </w:trPr>
        <w:tc>
          <w:tcPr>
            <w:tcW w:w="3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862FAF" w14:textId="77777777" w:rsidR="00952DE3" w:rsidRPr="00952DE3" w:rsidRDefault="00952DE3" w:rsidP="00952DE3">
            <w:pPr>
              <w:spacing w:after="0" w:line="240" w:lineRule="auto"/>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Marge brute retraitée</w:t>
            </w:r>
          </w:p>
        </w:tc>
        <w:tc>
          <w:tcPr>
            <w:tcW w:w="806" w:type="dxa"/>
            <w:tcBorders>
              <w:top w:val="nil"/>
              <w:left w:val="nil"/>
              <w:bottom w:val="nil"/>
              <w:right w:val="nil"/>
            </w:tcBorders>
            <w:shd w:val="clear" w:color="000000" w:fill="FFFFFF"/>
            <w:noWrap/>
            <w:vAlign w:val="bottom"/>
            <w:hideMark/>
          </w:tcPr>
          <w:p w14:paraId="36E00F43" w14:textId="77777777" w:rsidR="00952DE3" w:rsidRPr="00952DE3" w:rsidRDefault="00952DE3" w:rsidP="00952DE3">
            <w:pPr>
              <w:spacing w:after="0" w:line="240" w:lineRule="auto"/>
              <w:rPr>
                <w:rFonts w:ascii="Arial" w:eastAsia="Times New Roman" w:hAnsi="Arial" w:cs="Arial"/>
                <w:b/>
                <w:bCs/>
                <w:sz w:val="16"/>
                <w:szCs w:val="16"/>
                <w:lang w:eastAsia="fr-FR"/>
              </w:rPr>
            </w:pPr>
          </w:p>
        </w:tc>
        <w:tc>
          <w:tcPr>
            <w:tcW w:w="127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B64A24"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45 061 238</w:t>
            </w:r>
          </w:p>
        </w:tc>
        <w:tc>
          <w:tcPr>
            <w:tcW w:w="208" w:type="dxa"/>
            <w:tcBorders>
              <w:top w:val="nil"/>
              <w:left w:val="nil"/>
              <w:bottom w:val="nil"/>
              <w:right w:val="nil"/>
            </w:tcBorders>
            <w:shd w:val="clear" w:color="000000" w:fill="FFFFFF"/>
            <w:noWrap/>
            <w:vAlign w:val="bottom"/>
            <w:hideMark/>
          </w:tcPr>
          <w:p w14:paraId="0847335A"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89C93B"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35 417 589</w:t>
            </w:r>
          </w:p>
        </w:tc>
        <w:tc>
          <w:tcPr>
            <w:tcW w:w="208" w:type="dxa"/>
            <w:tcBorders>
              <w:top w:val="nil"/>
              <w:left w:val="nil"/>
              <w:bottom w:val="nil"/>
              <w:right w:val="nil"/>
            </w:tcBorders>
            <w:shd w:val="clear" w:color="000000" w:fill="FFFFFF"/>
            <w:noWrap/>
            <w:vAlign w:val="bottom"/>
            <w:hideMark/>
          </w:tcPr>
          <w:p w14:paraId="76F9A57C"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4E8A12"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9 643 649</w:t>
            </w:r>
          </w:p>
        </w:tc>
        <w:tc>
          <w:tcPr>
            <w:tcW w:w="208" w:type="dxa"/>
            <w:tcBorders>
              <w:top w:val="nil"/>
              <w:left w:val="nil"/>
              <w:bottom w:val="nil"/>
              <w:right w:val="nil"/>
            </w:tcBorders>
            <w:shd w:val="clear" w:color="000000" w:fill="FFFFFF"/>
            <w:noWrap/>
            <w:vAlign w:val="bottom"/>
            <w:hideMark/>
          </w:tcPr>
          <w:p w14:paraId="7A13B079"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60D4A"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27,2%</w:t>
            </w:r>
          </w:p>
        </w:tc>
      </w:tr>
      <w:tr w:rsidR="00952DE3" w:rsidRPr="00952DE3" w14:paraId="236C2526" w14:textId="77777777" w:rsidTr="0038631B">
        <w:trPr>
          <w:trHeight w:val="329"/>
        </w:trPr>
        <w:tc>
          <w:tcPr>
            <w:tcW w:w="3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1CF0EA" w14:textId="77777777" w:rsidR="00952DE3" w:rsidRPr="00952DE3" w:rsidRDefault="00952DE3" w:rsidP="00952DE3">
            <w:pPr>
              <w:spacing w:after="0" w:line="240" w:lineRule="auto"/>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Taux de marge brute retraitée</w:t>
            </w:r>
          </w:p>
        </w:tc>
        <w:tc>
          <w:tcPr>
            <w:tcW w:w="806" w:type="dxa"/>
            <w:tcBorders>
              <w:top w:val="nil"/>
              <w:left w:val="nil"/>
              <w:bottom w:val="nil"/>
              <w:right w:val="nil"/>
            </w:tcBorders>
            <w:shd w:val="clear" w:color="000000" w:fill="FFFFFF"/>
            <w:noWrap/>
            <w:vAlign w:val="bottom"/>
            <w:hideMark/>
          </w:tcPr>
          <w:p w14:paraId="60531500" w14:textId="77777777" w:rsidR="00952DE3" w:rsidRPr="00952DE3" w:rsidRDefault="00952DE3" w:rsidP="00952DE3">
            <w:pPr>
              <w:spacing w:after="0" w:line="240" w:lineRule="auto"/>
              <w:rPr>
                <w:rFonts w:ascii="Arial" w:eastAsia="Times New Roman" w:hAnsi="Arial" w:cs="Arial"/>
                <w:b/>
                <w:bCs/>
                <w:sz w:val="16"/>
                <w:szCs w:val="16"/>
                <w:lang w:eastAsia="fr-FR"/>
              </w:rPr>
            </w:pPr>
          </w:p>
        </w:tc>
        <w:tc>
          <w:tcPr>
            <w:tcW w:w="127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99297"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60,9%</w:t>
            </w:r>
          </w:p>
        </w:tc>
        <w:tc>
          <w:tcPr>
            <w:tcW w:w="208" w:type="dxa"/>
            <w:tcBorders>
              <w:top w:val="nil"/>
              <w:left w:val="nil"/>
              <w:bottom w:val="nil"/>
              <w:right w:val="nil"/>
            </w:tcBorders>
            <w:shd w:val="clear" w:color="000000" w:fill="FFFFFF"/>
            <w:noWrap/>
            <w:vAlign w:val="bottom"/>
            <w:hideMark/>
          </w:tcPr>
          <w:p w14:paraId="7D5992C7"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60DA18"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60,4%</w:t>
            </w:r>
          </w:p>
        </w:tc>
        <w:tc>
          <w:tcPr>
            <w:tcW w:w="208" w:type="dxa"/>
            <w:tcBorders>
              <w:top w:val="nil"/>
              <w:left w:val="nil"/>
              <w:bottom w:val="nil"/>
              <w:right w:val="nil"/>
            </w:tcBorders>
            <w:shd w:val="clear" w:color="000000" w:fill="FFFFFF"/>
            <w:noWrap/>
            <w:vAlign w:val="bottom"/>
            <w:hideMark/>
          </w:tcPr>
          <w:p w14:paraId="4E9BCA05"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21308" w14:textId="77777777" w:rsidR="00952DE3" w:rsidRPr="00952DE3" w:rsidRDefault="00952DE3" w:rsidP="00952DE3">
            <w:pPr>
              <w:spacing w:after="0" w:line="240" w:lineRule="auto"/>
              <w:rPr>
                <w:rFonts w:ascii="Times New Roman" w:eastAsia="Times New Roman" w:hAnsi="Times New Roman"/>
                <w:sz w:val="16"/>
                <w:szCs w:val="16"/>
                <w:lang w:eastAsia="fr-FR"/>
              </w:rPr>
            </w:pPr>
          </w:p>
        </w:tc>
        <w:tc>
          <w:tcPr>
            <w:tcW w:w="208" w:type="dxa"/>
            <w:tcBorders>
              <w:top w:val="nil"/>
              <w:left w:val="nil"/>
              <w:bottom w:val="nil"/>
              <w:right w:val="nil"/>
            </w:tcBorders>
            <w:shd w:val="clear" w:color="000000" w:fill="FFFFFF"/>
            <w:noWrap/>
            <w:vAlign w:val="bottom"/>
            <w:hideMark/>
          </w:tcPr>
          <w:p w14:paraId="69C1055A" w14:textId="77777777" w:rsidR="00952DE3" w:rsidRPr="00952DE3" w:rsidRDefault="00952DE3" w:rsidP="00952DE3">
            <w:pPr>
              <w:spacing w:after="0" w:line="240" w:lineRule="auto"/>
              <w:rPr>
                <w:rFonts w:ascii="Times New Roman" w:eastAsia="Times New Roman" w:hAnsi="Times New Roman"/>
                <w:sz w:val="16"/>
                <w:szCs w:val="16"/>
                <w:lang w:eastAsia="fr-FR"/>
              </w:rPr>
            </w:pP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739AB"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0,8%</w:t>
            </w:r>
          </w:p>
        </w:tc>
      </w:tr>
      <w:tr w:rsidR="00952DE3" w:rsidRPr="00952DE3" w14:paraId="3FC0944A" w14:textId="77777777" w:rsidTr="0038631B">
        <w:trPr>
          <w:trHeight w:val="329"/>
        </w:trPr>
        <w:tc>
          <w:tcPr>
            <w:tcW w:w="3582" w:type="dxa"/>
            <w:tcBorders>
              <w:top w:val="nil"/>
              <w:left w:val="single" w:sz="4" w:space="0" w:color="auto"/>
              <w:bottom w:val="nil"/>
              <w:right w:val="single" w:sz="4" w:space="0" w:color="auto"/>
            </w:tcBorders>
            <w:noWrap/>
            <w:vAlign w:val="bottom"/>
            <w:hideMark/>
          </w:tcPr>
          <w:p w14:paraId="06D9D5FC" w14:textId="77777777" w:rsidR="00952DE3" w:rsidRPr="00952DE3" w:rsidRDefault="00952DE3" w:rsidP="00952DE3">
            <w:pPr>
              <w:spacing w:after="0" w:line="240" w:lineRule="auto"/>
              <w:rPr>
                <w:rFonts w:ascii="Arial" w:eastAsia="Times New Roman" w:hAnsi="Arial" w:cs="Arial"/>
                <w:sz w:val="16"/>
                <w:szCs w:val="16"/>
                <w:lang w:eastAsia="fr-FR"/>
              </w:rPr>
            </w:pPr>
            <w:r w:rsidRPr="00952DE3">
              <w:rPr>
                <w:rFonts w:ascii="Arial" w:eastAsia="Times New Roman" w:hAnsi="Arial" w:cs="Arial"/>
                <w:sz w:val="16"/>
                <w:szCs w:val="16"/>
                <w:lang w:eastAsia="fr-FR"/>
              </w:rPr>
              <w:t>Participations publicitaires</w:t>
            </w:r>
          </w:p>
        </w:tc>
        <w:tc>
          <w:tcPr>
            <w:tcW w:w="806" w:type="dxa"/>
            <w:tcBorders>
              <w:top w:val="nil"/>
              <w:left w:val="nil"/>
              <w:bottom w:val="nil"/>
              <w:right w:val="nil"/>
            </w:tcBorders>
            <w:noWrap/>
            <w:vAlign w:val="bottom"/>
            <w:hideMark/>
          </w:tcPr>
          <w:p w14:paraId="6DF2DA58" w14:textId="77777777" w:rsidR="00952DE3" w:rsidRPr="00952DE3" w:rsidRDefault="00952DE3" w:rsidP="00952DE3">
            <w:pPr>
              <w:spacing w:after="0" w:line="240" w:lineRule="auto"/>
              <w:rPr>
                <w:rFonts w:ascii="Arial" w:eastAsia="Times New Roman" w:hAnsi="Arial" w:cs="Arial"/>
                <w:sz w:val="16"/>
                <w:szCs w:val="16"/>
                <w:lang w:eastAsia="fr-FR"/>
              </w:rPr>
            </w:pPr>
          </w:p>
        </w:tc>
        <w:tc>
          <w:tcPr>
            <w:tcW w:w="1271" w:type="dxa"/>
            <w:tcBorders>
              <w:top w:val="nil"/>
              <w:left w:val="single" w:sz="4" w:space="0" w:color="auto"/>
              <w:bottom w:val="nil"/>
              <w:right w:val="single" w:sz="4" w:space="0" w:color="auto"/>
            </w:tcBorders>
            <w:noWrap/>
            <w:vAlign w:val="bottom"/>
            <w:hideMark/>
          </w:tcPr>
          <w:p w14:paraId="18AF4BD8"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-10 021 816</w:t>
            </w:r>
          </w:p>
        </w:tc>
        <w:tc>
          <w:tcPr>
            <w:tcW w:w="208" w:type="dxa"/>
            <w:tcBorders>
              <w:top w:val="nil"/>
              <w:left w:val="nil"/>
              <w:bottom w:val="nil"/>
              <w:right w:val="nil"/>
            </w:tcBorders>
            <w:noWrap/>
            <w:vAlign w:val="bottom"/>
            <w:hideMark/>
          </w:tcPr>
          <w:p w14:paraId="17FD6A46"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nil"/>
              <w:right w:val="single" w:sz="4" w:space="0" w:color="auto"/>
            </w:tcBorders>
            <w:noWrap/>
            <w:vAlign w:val="bottom"/>
            <w:hideMark/>
          </w:tcPr>
          <w:p w14:paraId="6FE2B9DF"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-8 240 944</w:t>
            </w:r>
          </w:p>
        </w:tc>
        <w:tc>
          <w:tcPr>
            <w:tcW w:w="208" w:type="dxa"/>
            <w:tcBorders>
              <w:top w:val="nil"/>
              <w:left w:val="nil"/>
              <w:bottom w:val="nil"/>
              <w:right w:val="nil"/>
            </w:tcBorders>
            <w:noWrap/>
            <w:vAlign w:val="bottom"/>
            <w:hideMark/>
          </w:tcPr>
          <w:p w14:paraId="680193EC"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nil"/>
              <w:right w:val="single" w:sz="4" w:space="0" w:color="auto"/>
            </w:tcBorders>
            <w:noWrap/>
            <w:vAlign w:val="bottom"/>
            <w:hideMark/>
          </w:tcPr>
          <w:p w14:paraId="1F94C4F0"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-1 780 872</w:t>
            </w:r>
          </w:p>
        </w:tc>
        <w:tc>
          <w:tcPr>
            <w:tcW w:w="208" w:type="dxa"/>
            <w:tcBorders>
              <w:top w:val="nil"/>
              <w:left w:val="nil"/>
              <w:bottom w:val="nil"/>
              <w:right w:val="nil"/>
            </w:tcBorders>
            <w:noWrap/>
            <w:vAlign w:val="bottom"/>
            <w:hideMark/>
          </w:tcPr>
          <w:p w14:paraId="2953FCDC"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436" w:type="dxa"/>
            <w:tcBorders>
              <w:top w:val="nil"/>
              <w:left w:val="single" w:sz="4" w:space="0" w:color="auto"/>
              <w:bottom w:val="nil"/>
              <w:right w:val="single" w:sz="4" w:space="0" w:color="auto"/>
            </w:tcBorders>
            <w:noWrap/>
            <w:vAlign w:val="bottom"/>
            <w:hideMark/>
          </w:tcPr>
          <w:p w14:paraId="16185D50"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21,6%</w:t>
            </w:r>
          </w:p>
        </w:tc>
      </w:tr>
      <w:tr w:rsidR="00952DE3" w:rsidRPr="00952DE3" w14:paraId="307E41A2" w14:textId="77777777" w:rsidTr="0038631B">
        <w:trPr>
          <w:trHeight w:val="329"/>
        </w:trPr>
        <w:tc>
          <w:tcPr>
            <w:tcW w:w="3582" w:type="dxa"/>
            <w:tcBorders>
              <w:top w:val="nil"/>
              <w:left w:val="single" w:sz="4" w:space="0" w:color="auto"/>
              <w:bottom w:val="single" w:sz="4" w:space="0" w:color="auto"/>
              <w:right w:val="single" w:sz="4" w:space="0" w:color="auto"/>
            </w:tcBorders>
            <w:shd w:val="clear" w:color="000000" w:fill="FFFFFF"/>
            <w:vAlign w:val="bottom"/>
            <w:hideMark/>
          </w:tcPr>
          <w:p w14:paraId="5A05A6A2" w14:textId="77777777" w:rsidR="00952DE3" w:rsidRPr="00952DE3" w:rsidRDefault="00952DE3" w:rsidP="00952DE3">
            <w:pPr>
              <w:spacing w:after="0" w:line="240" w:lineRule="auto"/>
              <w:rPr>
                <w:rFonts w:ascii="Arial" w:eastAsia="Times New Roman" w:hAnsi="Arial" w:cs="Arial"/>
                <w:sz w:val="16"/>
                <w:szCs w:val="16"/>
                <w:lang w:eastAsia="fr-FR"/>
              </w:rPr>
            </w:pPr>
            <w:r w:rsidRPr="00952DE3">
              <w:rPr>
                <w:rFonts w:ascii="Arial" w:eastAsia="Times New Roman" w:hAnsi="Arial" w:cs="Arial"/>
                <w:sz w:val="16"/>
                <w:szCs w:val="16"/>
                <w:lang w:eastAsia="fr-FR"/>
              </w:rPr>
              <w:t>Royalties</w:t>
            </w:r>
          </w:p>
        </w:tc>
        <w:tc>
          <w:tcPr>
            <w:tcW w:w="806" w:type="dxa"/>
            <w:tcBorders>
              <w:top w:val="nil"/>
              <w:left w:val="nil"/>
              <w:bottom w:val="nil"/>
              <w:right w:val="nil"/>
            </w:tcBorders>
            <w:shd w:val="clear" w:color="000000" w:fill="FFFFFF"/>
            <w:noWrap/>
            <w:vAlign w:val="bottom"/>
            <w:hideMark/>
          </w:tcPr>
          <w:p w14:paraId="25D68732" w14:textId="77777777" w:rsidR="00952DE3" w:rsidRPr="00952DE3" w:rsidRDefault="00952DE3" w:rsidP="00952DE3">
            <w:pPr>
              <w:spacing w:after="0" w:line="240" w:lineRule="auto"/>
              <w:rPr>
                <w:rFonts w:ascii="Arial" w:eastAsia="Times New Roman" w:hAnsi="Arial" w:cs="Arial"/>
                <w:sz w:val="16"/>
                <w:szCs w:val="16"/>
                <w:lang w:eastAsia="fr-FR"/>
              </w:rPr>
            </w:pPr>
          </w:p>
        </w:tc>
        <w:tc>
          <w:tcPr>
            <w:tcW w:w="1271" w:type="dxa"/>
            <w:tcBorders>
              <w:top w:val="nil"/>
              <w:left w:val="single" w:sz="4" w:space="0" w:color="auto"/>
              <w:bottom w:val="single" w:sz="4" w:space="0" w:color="auto"/>
              <w:right w:val="single" w:sz="4" w:space="0" w:color="auto"/>
            </w:tcBorders>
            <w:shd w:val="clear" w:color="000000" w:fill="FFFFFF"/>
            <w:noWrap/>
            <w:vAlign w:val="bottom"/>
            <w:hideMark/>
          </w:tcPr>
          <w:p w14:paraId="320D43AF"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-6 423 526</w:t>
            </w:r>
          </w:p>
        </w:tc>
        <w:tc>
          <w:tcPr>
            <w:tcW w:w="208" w:type="dxa"/>
            <w:tcBorders>
              <w:top w:val="nil"/>
              <w:left w:val="nil"/>
              <w:bottom w:val="nil"/>
              <w:right w:val="nil"/>
            </w:tcBorders>
            <w:shd w:val="clear" w:color="000000" w:fill="FFFFFF"/>
            <w:noWrap/>
            <w:vAlign w:val="bottom"/>
            <w:hideMark/>
          </w:tcPr>
          <w:p w14:paraId="41EA6518"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single" w:sz="4" w:space="0" w:color="auto"/>
              <w:right w:val="single" w:sz="4" w:space="0" w:color="auto"/>
            </w:tcBorders>
            <w:shd w:val="clear" w:color="000000" w:fill="FFFFFF"/>
            <w:noWrap/>
            <w:vAlign w:val="bottom"/>
            <w:hideMark/>
          </w:tcPr>
          <w:p w14:paraId="58351F5C"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-4 548 335</w:t>
            </w:r>
          </w:p>
        </w:tc>
        <w:tc>
          <w:tcPr>
            <w:tcW w:w="208" w:type="dxa"/>
            <w:tcBorders>
              <w:top w:val="nil"/>
              <w:left w:val="nil"/>
              <w:bottom w:val="nil"/>
              <w:right w:val="nil"/>
            </w:tcBorders>
            <w:shd w:val="clear" w:color="000000" w:fill="FFFFFF"/>
            <w:noWrap/>
            <w:vAlign w:val="bottom"/>
            <w:hideMark/>
          </w:tcPr>
          <w:p w14:paraId="0900FDDE"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366" w:type="dxa"/>
            <w:tcBorders>
              <w:top w:val="nil"/>
              <w:left w:val="single" w:sz="4" w:space="0" w:color="auto"/>
              <w:bottom w:val="single" w:sz="4" w:space="0" w:color="auto"/>
              <w:right w:val="single" w:sz="4" w:space="0" w:color="auto"/>
            </w:tcBorders>
            <w:shd w:val="clear" w:color="000000" w:fill="FFFFFF"/>
            <w:noWrap/>
            <w:vAlign w:val="bottom"/>
            <w:hideMark/>
          </w:tcPr>
          <w:p w14:paraId="0617E147"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-1 875 191</w:t>
            </w:r>
          </w:p>
        </w:tc>
        <w:tc>
          <w:tcPr>
            <w:tcW w:w="208" w:type="dxa"/>
            <w:tcBorders>
              <w:top w:val="nil"/>
              <w:left w:val="nil"/>
              <w:bottom w:val="nil"/>
              <w:right w:val="nil"/>
            </w:tcBorders>
            <w:shd w:val="clear" w:color="000000" w:fill="FFFFFF"/>
            <w:noWrap/>
            <w:vAlign w:val="bottom"/>
            <w:hideMark/>
          </w:tcPr>
          <w:p w14:paraId="5D2A1A09" w14:textId="77777777" w:rsidR="00952DE3" w:rsidRPr="00952DE3" w:rsidRDefault="00952DE3" w:rsidP="00952DE3">
            <w:pPr>
              <w:spacing w:after="0" w:line="240" w:lineRule="auto"/>
              <w:jc w:val="right"/>
              <w:rPr>
                <w:rFonts w:ascii="Arial" w:eastAsia="Times New Roman" w:hAnsi="Arial" w:cs="Arial"/>
                <w:sz w:val="16"/>
                <w:szCs w:val="16"/>
                <w:lang w:eastAsia="fr-FR"/>
              </w:rPr>
            </w:pPr>
          </w:p>
        </w:tc>
        <w:tc>
          <w:tcPr>
            <w:tcW w:w="1436" w:type="dxa"/>
            <w:tcBorders>
              <w:top w:val="nil"/>
              <w:left w:val="single" w:sz="4" w:space="0" w:color="auto"/>
              <w:bottom w:val="single" w:sz="4" w:space="0" w:color="auto"/>
              <w:right w:val="single" w:sz="4" w:space="0" w:color="auto"/>
            </w:tcBorders>
            <w:shd w:val="clear" w:color="000000" w:fill="FFFFFF"/>
            <w:noWrap/>
            <w:vAlign w:val="bottom"/>
            <w:hideMark/>
          </w:tcPr>
          <w:p w14:paraId="3335C2C8" w14:textId="77777777" w:rsidR="00952DE3" w:rsidRPr="00952DE3" w:rsidRDefault="00952DE3" w:rsidP="00952DE3">
            <w:pPr>
              <w:spacing w:after="0" w:line="240" w:lineRule="auto"/>
              <w:jc w:val="right"/>
              <w:rPr>
                <w:rFonts w:ascii="Arial" w:eastAsia="Times New Roman" w:hAnsi="Arial" w:cs="Arial"/>
                <w:sz w:val="16"/>
                <w:szCs w:val="16"/>
                <w:lang w:eastAsia="fr-FR"/>
              </w:rPr>
            </w:pPr>
            <w:r w:rsidRPr="00952DE3">
              <w:rPr>
                <w:rFonts w:ascii="Arial" w:eastAsia="Times New Roman" w:hAnsi="Arial" w:cs="Arial"/>
                <w:sz w:val="16"/>
                <w:szCs w:val="16"/>
                <w:lang w:eastAsia="fr-FR"/>
              </w:rPr>
              <w:t>41,2%</w:t>
            </w:r>
          </w:p>
        </w:tc>
      </w:tr>
      <w:tr w:rsidR="00952DE3" w:rsidRPr="00952DE3" w14:paraId="2A00A568" w14:textId="77777777" w:rsidTr="0038631B">
        <w:trPr>
          <w:trHeight w:val="329"/>
        </w:trPr>
        <w:tc>
          <w:tcPr>
            <w:tcW w:w="3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A8A88F" w14:textId="77777777" w:rsidR="00952DE3" w:rsidRPr="00952DE3" w:rsidRDefault="00952DE3" w:rsidP="00952DE3">
            <w:pPr>
              <w:spacing w:after="0" w:line="240" w:lineRule="auto"/>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Marge 4 nets retraitée</w:t>
            </w:r>
          </w:p>
        </w:tc>
        <w:tc>
          <w:tcPr>
            <w:tcW w:w="806" w:type="dxa"/>
            <w:tcBorders>
              <w:top w:val="nil"/>
              <w:left w:val="nil"/>
              <w:bottom w:val="nil"/>
              <w:right w:val="nil"/>
            </w:tcBorders>
            <w:shd w:val="clear" w:color="000000" w:fill="FFFFFF"/>
            <w:noWrap/>
            <w:vAlign w:val="bottom"/>
            <w:hideMark/>
          </w:tcPr>
          <w:p w14:paraId="3F576571" w14:textId="77777777" w:rsidR="00952DE3" w:rsidRPr="00952DE3" w:rsidRDefault="00952DE3" w:rsidP="00952DE3">
            <w:pPr>
              <w:spacing w:after="0" w:line="240" w:lineRule="auto"/>
              <w:rPr>
                <w:rFonts w:ascii="Arial" w:eastAsia="Times New Roman" w:hAnsi="Arial" w:cs="Arial"/>
                <w:b/>
                <w:bCs/>
                <w:sz w:val="16"/>
                <w:szCs w:val="16"/>
                <w:lang w:eastAsia="fr-FR"/>
              </w:rPr>
            </w:pPr>
          </w:p>
        </w:tc>
        <w:tc>
          <w:tcPr>
            <w:tcW w:w="127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B84AF"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28 615 895</w:t>
            </w:r>
          </w:p>
        </w:tc>
        <w:tc>
          <w:tcPr>
            <w:tcW w:w="208" w:type="dxa"/>
            <w:tcBorders>
              <w:top w:val="nil"/>
              <w:left w:val="nil"/>
              <w:bottom w:val="nil"/>
              <w:right w:val="nil"/>
            </w:tcBorders>
            <w:shd w:val="clear" w:color="000000" w:fill="FFFFFF"/>
            <w:noWrap/>
            <w:vAlign w:val="bottom"/>
            <w:hideMark/>
          </w:tcPr>
          <w:p w14:paraId="7E7DDEE0"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C2525"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22 628 310</w:t>
            </w:r>
          </w:p>
        </w:tc>
        <w:tc>
          <w:tcPr>
            <w:tcW w:w="208" w:type="dxa"/>
            <w:tcBorders>
              <w:top w:val="nil"/>
              <w:left w:val="nil"/>
              <w:bottom w:val="nil"/>
              <w:right w:val="nil"/>
            </w:tcBorders>
            <w:shd w:val="clear" w:color="000000" w:fill="FFFFFF"/>
            <w:noWrap/>
            <w:vAlign w:val="bottom"/>
            <w:hideMark/>
          </w:tcPr>
          <w:p w14:paraId="4189DA54"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8992D8"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5 987 585</w:t>
            </w:r>
          </w:p>
        </w:tc>
        <w:tc>
          <w:tcPr>
            <w:tcW w:w="208" w:type="dxa"/>
            <w:tcBorders>
              <w:top w:val="nil"/>
              <w:left w:val="nil"/>
              <w:bottom w:val="nil"/>
              <w:right w:val="nil"/>
            </w:tcBorders>
            <w:shd w:val="clear" w:color="000000" w:fill="FFFFFF"/>
            <w:noWrap/>
            <w:vAlign w:val="bottom"/>
            <w:hideMark/>
          </w:tcPr>
          <w:p w14:paraId="18D34981"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795F4"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26,5%</w:t>
            </w:r>
          </w:p>
        </w:tc>
      </w:tr>
      <w:tr w:rsidR="00952DE3" w:rsidRPr="00952DE3" w14:paraId="788C59E2" w14:textId="77777777" w:rsidTr="0038631B">
        <w:trPr>
          <w:trHeight w:val="329"/>
        </w:trPr>
        <w:tc>
          <w:tcPr>
            <w:tcW w:w="358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D652AE" w14:textId="77777777" w:rsidR="00952DE3" w:rsidRPr="00952DE3" w:rsidRDefault="00952DE3" w:rsidP="00952DE3">
            <w:pPr>
              <w:spacing w:after="0" w:line="240" w:lineRule="auto"/>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Taux de marge 4 nets retraitée</w:t>
            </w:r>
          </w:p>
        </w:tc>
        <w:tc>
          <w:tcPr>
            <w:tcW w:w="806" w:type="dxa"/>
            <w:tcBorders>
              <w:top w:val="nil"/>
              <w:left w:val="nil"/>
              <w:bottom w:val="nil"/>
              <w:right w:val="nil"/>
            </w:tcBorders>
            <w:shd w:val="clear" w:color="000000" w:fill="FFFFFF"/>
            <w:noWrap/>
            <w:vAlign w:val="bottom"/>
            <w:hideMark/>
          </w:tcPr>
          <w:p w14:paraId="3A2EDD7D" w14:textId="77777777" w:rsidR="00952DE3" w:rsidRPr="00952DE3" w:rsidRDefault="00952DE3" w:rsidP="00952DE3">
            <w:pPr>
              <w:spacing w:after="0" w:line="240" w:lineRule="auto"/>
              <w:rPr>
                <w:rFonts w:ascii="Arial" w:eastAsia="Times New Roman" w:hAnsi="Arial" w:cs="Arial"/>
                <w:b/>
                <w:bCs/>
                <w:sz w:val="16"/>
                <w:szCs w:val="16"/>
                <w:lang w:eastAsia="fr-FR"/>
              </w:rPr>
            </w:pPr>
          </w:p>
        </w:tc>
        <w:tc>
          <w:tcPr>
            <w:tcW w:w="127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3DD0D"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38,7%</w:t>
            </w:r>
          </w:p>
        </w:tc>
        <w:tc>
          <w:tcPr>
            <w:tcW w:w="208" w:type="dxa"/>
            <w:tcBorders>
              <w:top w:val="nil"/>
              <w:left w:val="nil"/>
              <w:bottom w:val="nil"/>
              <w:right w:val="nil"/>
            </w:tcBorders>
            <w:shd w:val="clear" w:color="000000" w:fill="FFFFFF"/>
            <w:noWrap/>
            <w:vAlign w:val="bottom"/>
            <w:hideMark/>
          </w:tcPr>
          <w:p w14:paraId="507410FE"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CAEE0"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38,6%</w:t>
            </w:r>
          </w:p>
        </w:tc>
        <w:tc>
          <w:tcPr>
            <w:tcW w:w="208" w:type="dxa"/>
            <w:tcBorders>
              <w:top w:val="nil"/>
              <w:left w:val="nil"/>
              <w:bottom w:val="nil"/>
              <w:right w:val="nil"/>
            </w:tcBorders>
            <w:shd w:val="clear" w:color="000000" w:fill="FFFFFF"/>
            <w:noWrap/>
            <w:vAlign w:val="bottom"/>
            <w:hideMark/>
          </w:tcPr>
          <w:p w14:paraId="548D8F9B"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p>
        </w:tc>
        <w:tc>
          <w:tcPr>
            <w:tcW w:w="13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B0B0B" w14:textId="77777777" w:rsidR="00952DE3" w:rsidRPr="00952DE3" w:rsidRDefault="00952DE3" w:rsidP="00952DE3">
            <w:pPr>
              <w:spacing w:after="0" w:line="240" w:lineRule="auto"/>
              <w:rPr>
                <w:rFonts w:ascii="Times New Roman" w:eastAsia="Times New Roman" w:hAnsi="Times New Roman"/>
                <w:sz w:val="16"/>
                <w:szCs w:val="16"/>
                <w:lang w:eastAsia="fr-FR"/>
              </w:rPr>
            </w:pPr>
          </w:p>
        </w:tc>
        <w:tc>
          <w:tcPr>
            <w:tcW w:w="208" w:type="dxa"/>
            <w:tcBorders>
              <w:top w:val="nil"/>
              <w:left w:val="nil"/>
              <w:bottom w:val="nil"/>
              <w:right w:val="nil"/>
            </w:tcBorders>
            <w:shd w:val="clear" w:color="000000" w:fill="FFFFFF"/>
            <w:noWrap/>
            <w:vAlign w:val="bottom"/>
            <w:hideMark/>
          </w:tcPr>
          <w:p w14:paraId="697387C0" w14:textId="77777777" w:rsidR="00952DE3" w:rsidRPr="00952DE3" w:rsidRDefault="00952DE3" w:rsidP="00952DE3">
            <w:pPr>
              <w:spacing w:after="0" w:line="240" w:lineRule="auto"/>
              <w:rPr>
                <w:rFonts w:ascii="Times New Roman" w:eastAsia="Times New Roman" w:hAnsi="Times New Roman"/>
                <w:sz w:val="16"/>
                <w:szCs w:val="16"/>
                <w:lang w:eastAsia="fr-FR"/>
              </w:rPr>
            </w:pP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BBA07" w14:textId="77777777" w:rsidR="00952DE3" w:rsidRPr="00952DE3" w:rsidRDefault="00952DE3" w:rsidP="00952DE3">
            <w:pPr>
              <w:spacing w:after="0" w:line="240" w:lineRule="auto"/>
              <w:jc w:val="right"/>
              <w:rPr>
                <w:rFonts w:ascii="Arial" w:eastAsia="Times New Roman" w:hAnsi="Arial" w:cs="Arial"/>
                <w:b/>
                <w:bCs/>
                <w:sz w:val="16"/>
                <w:szCs w:val="16"/>
                <w:lang w:eastAsia="fr-FR"/>
              </w:rPr>
            </w:pPr>
            <w:r w:rsidRPr="00952DE3">
              <w:rPr>
                <w:rFonts w:ascii="Arial" w:eastAsia="Times New Roman" w:hAnsi="Arial" w:cs="Arial"/>
                <w:b/>
                <w:bCs/>
                <w:sz w:val="16"/>
                <w:szCs w:val="16"/>
                <w:lang w:eastAsia="fr-FR"/>
              </w:rPr>
              <w:t>0,2%</w:t>
            </w:r>
          </w:p>
        </w:tc>
      </w:tr>
    </w:tbl>
    <w:p w14:paraId="67B6ECE2" w14:textId="3FA1AB2B" w:rsidR="00323055" w:rsidRPr="00095F64" w:rsidRDefault="00323055" w:rsidP="3A868EA2">
      <w:pPr>
        <w:autoSpaceDE w:val="0"/>
        <w:autoSpaceDN w:val="0"/>
        <w:adjustRightInd w:val="0"/>
        <w:spacing w:after="0" w:line="240" w:lineRule="atLeast"/>
        <w:jc w:val="both"/>
      </w:pPr>
    </w:p>
    <w:p w14:paraId="5737E442" w14:textId="57D8A9FD" w:rsidR="00323055" w:rsidRPr="00095F64" w:rsidRDefault="0F3C4A1D" w:rsidP="6BEB91E7">
      <w:pPr>
        <w:autoSpaceDE w:val="0"/>
        <w:autoSpaceDN w:val="0"/>
        <w:adjustRightInd w:val="0"/>
        <w:spacing w:after="0" w:line="240" w:lineRule="atLeast"/>
        <w:jc w:val="both"/>
        <w:rPr>
          <w:rFonts w:asciiTheme="minorHAnsi" w:hAnsiTheme="minorHAnsi" w:cstheme="minorBidi"/>
          <w:sz w:val="24"/>
          <w:szCs w:val="24"/>
          <w:lang w:val="fr"/>
        </w:rPr>
      </w:pPr>
      <w:r w:rsidRPr="6BEB91E7">
        <w:rPr>
          <w:rFonts w:asciiTheme="minorHAnsi" w:hAnsiTheme="minorHAnsi" w:cstheme="minorBidi"/>
          <w:sz w:val="24"/>
          <w:szCs w:val="24"/>
          <w:lang w:val="fr"/>
        </w:rPr>
        <w:t xml:space="preserve">La </w:t>
      </w:r>
      <w:r w:rsidR="1C325368" w:rsidRPr="6BEB91E7">
        <w:rPr>
          <w:rFonts w:asciiTheme="minorHAnsi" w:hAnsiTheme="minorHAnsi" w:cstheme="minorBidi"/>
          <w:sz w:val="24"/>
          <w:szCs w:val="24"/>
          <w:lang w:val="fr"/>
        </w:rPr>
        <w:t xml:space="preserve">progression de la marge brute se retrouve partiellement sur la marge 4 nets retraitée qui se monte à </w:t>
      </w:r>
      <w:r w:rsidR="6430ABEF" w:rsidRPr="6BEB91E7">
        <w:rPr>
          <w:rFonts w:asciiTheme="minorHAnsi" w:hAnsiTheme="minorHAnsi" w:cstheme="minorBidi"/>
          <w:sz w:val="24"/>
          <w:szCs w:val="24"/>
          <w:lang w:val="fr"/>
        </w:rPr>
        <w:t>28,6</w:t>
      </w:r>
      <w:r w:rsidR="1C325368" w:rsidRPr="6BEB91E7">
        <w:rPr>
          <w:rFonts w:asciiTheme="minorHAnsi" w:hAnsiTheme="minorHAnsi" w:cstheme="minorBidi"/>
          <w:sz w:val="24"/>
          <w:szCs w:val="24"/>
          <w:lang w:val="fr"/>
        </w:rPr>
        <w:t xml:space="preserve"> M€ vs </w:t>
      </w:r>
      <w:r w:rsidR="4DE34DF7" w:rsidRPr="6BEB91E7">
        <w:rPr>
          <w:rFonts w:asciiTheme="minorHAnsi" w:hAnsiTheme="minorHAnsi" w:cstheme="minorBidi"/>
          <w:sz w:val="24"/>
          <w:szCs w:val="24"/>
          <w:lang w:val="fr"/>
        </w:rPr>
        <w:t>22,6</w:t>
      </w:r>
      <w:r w:rsidR="1C325368" w:rsidRPr="6BEB91E7">
        <w:rPr>
          <w:rFonts w:asciiTheme="minorHAnsi" w:hAnsiTheme="minorHAnsi" w:cstheme="minorBidi"/>
          <w:sz w:val="24"/>
          <w:szCs w:val="24"/>
          <w:lang w:val="fr"/>
        </w:rPr>
        <w:t xml:space="preserve"> M€ un an plus tôt compte tenu des investissements publicitaires accrus et de l</w:t>
      </w:r>
      <w:r w:rsidR="183C989E" w:rsidRPr="6BEB91E7">
        <w:rPr>
          <w:rFonts w:asciiTheme="minorHAnsi" w:hAnsiTheme="minorHAnsi" w:cstheme="minorBidi"/>
          <w:sz w:val="24"/>
          <w:szCs w:val="24"/>
          <w:lang w:val="fr"/>
        </w:rPr>
        <w:t>’</w:t>
      </w:r>
      <w:r w:rsidR="1C325368" w:rsidRPr="6BEB91E7">
        <w:rPr>
          <w:rFonts w:asciiTheme="minorHAnsi" w:hAnsiTheme="minorHAnsi" w:cstheme="minorBidi"/>
          <w:sz w:val="24"/>
          <w:szCs w:val="24"/>
          <w:lang w:val="fr"/>
        </w:rPr>
        <w:t>augmentation de la part des produits sous licence dans le chiffre d’affaires total.</w:t>
      </w:r>
    </w:p>
    <w:p w14:paraId="15A3ABFB" w14:textId="77777777" w:rsidR="00472836" w:rsidRPr="00095F64" w:rsidRDefault="00472836" w:rsidP="0C1039A8">
      <w:pPr>
        <w:autoSpaceDE w:val="0"/>
        <w:autoSpaceDN w:val="0"/>
        <w:adjustRightInd w:val="0"/>
        <w:spacing w:line="240" w:lineRule="atLeast"/>
        <w:jc w:val="both"/>
        <w:rPr>
          <w:rFonts w:asciiTheme="minorHAnsi" w:hAnsiTheme="minorHAnsi" w:cstheme="minorBidi"/>
        </w:rPr>
      </w:pPr>
    </w:p>
    <w:p w14:paraId="3C455E70" w14:textId="697D30EB" w:rsidR="00472836" w:rsidRPr="007E1F95" w:rsidRDefault="00323055" w:rsidP="00323055">
      <w:pPr>
        <w:tabs>
          <w:tab w:val="left" w:pos="0"/>
          <w:tab w:val="left" w:pos="306"/>
          <w:tab w:val="left" w:pos="1026"/>
          <w:tab w:val="left" w:pos="1746"/>
          <w:tab w:val="left" w:pos="2466"/>
          <w:tab w:val="left" w:pos="3186"/>
          <w:tab w:val="left" w:pos="3906"/>
          <w:tab w:val="left" w:pos="4626"/>
        </w:tabs>
        <w:autoSpaceDE w:val="0"/>
        <w:autoSpaceDN w:val="0"/>
        <w:adjustRightInd w:val="0"/>
        <w:spacing w:line="240" w:lineRule="atLeast"/>
        <w:rPr>
          <w:rFonts w:asciiTheme="minorHAnsi" w:hAnsiTheme="minorHAnsi" w:cstheme="minorHAnsi"/>
          <w:b/>
          <w:color w:val="0254A5"/>
          <w:u w:val="single"/>
        </w:rPr>
      </w:pPr>
      <w:r w:rsidRPr="007E1F95">
        <w:rPr>
          <w:rFonts w:asciiTheme="minorHAnsi" w:hAnsiTheme="minorHAnsi" w:cstheme="minorHAnsi"/>
          <w:b/>
          <w:color w:val="0254A5"/>
          <w:u w:val="single"/>
        </w:rPr>
        <w:t>EBITDA :</w:t>
      </w:r>
    </w:p>
    <w:p w14:paraId="3FA0D8A1" w14:textId="59D61ED1" w:rsidR="001A56DA" w:rsidRPr="00095F64" w:rsidRDefault="10F3C3B0" w:rsidP="6BEB91E7">
      <w:pPr>
        <w:spacing w:after="0" w:line="240" w:lineRule="auto"/>
        <w:rPr>
          <w:rFonts w:asciiTheme="minorHAnsi" w:hAnsiTheme="minorHAnsi" w:cstheme="minorBidi"/>
          <w:sz w:val="24"/>
          <w:szCs w:val="24"/>
        </w:rPr>
      </w:pPr>
      <w:r w:rsidRPr="6BEB91E7">
        <w:rPr>
          <w:rFonts w:asciiTheme="minorHAnsi" w:hAnsiTheme="minorHAnsi" w:cstheme="minorBidi"/>
          <w:sz w:val="24"/>
          <w:szCs w:val="24"/>
        </w:rPr>
        <w:t xml:space="preserve">L’EBITDA, résultat avant impôts, intérêts financiers, dépréciations et amortissements, est en </w:t>
      </w:r>
      <w:r w:rsidR="555041A0" w:rsidRPr="6BEB91E7">
        <w:rPr>
          <w:rFonts w:asciiTheme="minorHAnsi" w:hAnsiTheme="minorHAnsi" w:cstheme="minorBidi"/>
          <w:sz w:val="24"/>
          <w:szCs w:val="24"/>
        </w:rPr>
        <w:t xml:space="preserve">augmentation de </w:t>
      </w:r>
      <w:r w:rsidR="57D12EF8" w:rsidRPr="6BEB91E7">
        <w:rPr>
          <w:rFonts w:asciiTheme="minorHAnsi" w:hAnsiTheme="minorHAnsi" w:cstheme="minorBidi"/>
          <w:sz w:val="24"/>
          <w:szCs w:val="24"/>
        </w:rPr>
        <w:t>30,3</w:t>
      </w:r>
      <w:r w:rsidR="555041A0" w:rsidRPr="6BEB91E7">
        <w:rPr>
          <w:rFonts w:asciiTheme="minorHAnsi" w:hAnsiTheme="minorHAnsi" w:cstheme="minorBidi"/>
          <w:sz w:val="24"/>
          <w:szCs w:val="24"/>
        </w:rPr>
        <w:t>%</w:t>
      </w:r>
      <w:r w:rsidRPr="6BEB91E7">
        <w:rPr>
          <w:rFonts w:asciiTheme="minorHAnsi" w:hAnsiTheme="minorHAnsi" w:cstheme="minorBidi"/>
          <w:sz w:val="24"/>
          <w:szCs w:val="24"/>
        </w:rPr>
        <w:t xml:space="preserve"> pour s’établir à </w:t>
      </w:r>
      <w:r w:rsidR="0EF857AC" w:rsidRPr="6BEB91E7">
        <w:rPr>
          <w:rFonts w:asciiTheme="minorHAnsi" w:hAnsiTheme="minorHAnsi" w:cstheme="minorBidi"/>
          <w:sz w:val="24"/>
          <w:szCs w:val="24"/>
        </w:rPr>
        <w:t>9,7</w:t>
      </w:r>
      <w:r w:rsidRPr="6BEB91E7">
        <w:rPr>
          <w:rFonts w:asciiTheme="minorHAnsi" w:hAnsiTheme="minorHAnsi" w:cstheme="minorBidi"/>
          <w:sz w:val="24"/>
          <w:szCs w:val="24"/>
        </w:rPr>
        <w:t xml:space="preserve"> M€ vs </w:t>
      </w:r>
      <w:r w:rsidR="51F44E32" w:rsidRPr="6BEB91E7">
        <w:rPr>
          <w:rFonts w:asciiTheme="minorHAnsi" w:hAnsiTheme="minorHAnsi" w:cstheme="minorBidi"/>
          <w:sz w:val="24"/>
          <w:szCs w:val="24"/>
        </w:rPr>
        <w:t>7,5</w:t>
      </w:r>
      <w:r w:rsidRPr="6BEB91E7">
        <w:rPr>
          <w:rFonts w:asciiTheme="minorHAnsi" w:hAnsiTheme="minorHAnsi" w:cstheme="minorBidi"/>
          <w:sz w:val="24"/>
          <w:szCs w:val="24"/>
        </w:rPr>
        <w:t xml:space="preserve"> M€. </w:t>
      </w:r>
    </w:p>
    <w:p w14:paraId="0A37C3A5" w14:textId="7E43F7D3" w:rsidR="0C1039A8" w:rsidRDefault="0C1039A8" w:rsidP="0C1039A8">
      <w:pPr>
        <w:spacing w:line="240" w:lineRule="atLeast"/>
        <w:jc w:val="both"/>
        <w:rPr>
          <w:rFonts w:asciiTheme="minorHAnsi" w:hAnsiTheme="minorHAnsi" w:cstheme="minorBidi"/>
        </w:rPr>
      </w:pPr>
    </w:p>
    <w:p w14:paraId="20505788" w14:textId="5CE2A168" w:rsidR="001A56DA" w:rsidRPr="007E1F95" w:rsidRDefault="1A33E6D7" w:rsidP="6BEB91E7">
      <w:pPr>
        <w:tabs>
          <w:tab w:val="left" w:pos="306"/>
          <w:tab w:val="left" w:pos="1026"/>
          <w:tab w:val="left" w:pos="1746"/>
          <w:tab w:val="left" w:pos="2466"/>
          <w:tab w:val="left" w:pos="3186"/>
          <w:tab w:val="left" w:pos="3906"/>
          <w:tab w:val="left" w:pos="4626"/>
        </w:tabs>
        <w:spacing w:line="240" w:lineRule="atLeast"/>
        <w:jc w:val="both"/>
        <w:rPr>
          <w:rFonts w:asciiTheme="minorHAnsi" w:hAnsiTheme="minorHAnsi" w:cstheme="minorBidi"/>
          <w:b/>
          <w:bCs/>
          <w:color w:val="0254A5"/>
        </w:rPr>
      </w:pPr>
      <w:r w:rsidRPr="6BEB91E7">
        <w:rPr>
          <w:rFonts w:asciiTheme="minorHAnsi" w:hAnsiTheme="minorHAnsi" w:cstheme="minorBidi"/>
          <w:b/>
          <w:bCs/>
          <w:color w:val="0254A5"/>
          <w:u w:val="single"/>
        </w:rPr>
        <w:t>Résultat d’exploitation :</w:t>
      </w:r>
    </w:p>
    <w:p w14:paraId="39C52DD9" w14:textId="07BA72E2" w:rsidR="001A6336" w:rsidRPr="00095F64" w:rsidRDefault="001A6336" w:rsidP="0C1039A8">
      <w:pPr>
        <w:spacing w:after="0"/>
        <w:jc w:val="both"/>
        <w:rPr>
          <w:rFonts w:ascii="Arial" w:eastAsia="Arial" w:hAnsi="Arial" w:cs="Arial"/>
          <w:sz w:val="20"/>
          <w:szCs w:val="20"/>
          <w:lang w:val="fr"/>
        </w:rPr>
      </w:pPr>
    </w:p>
    <w:p w14:paraId="0B4D167D" w14:textId="311059E9" w:rsidR="001A6336" w:rsidRPr="00095F64" w:rsidRDefault="4A27256B" w:rsidP="08A4B5F2">
      <w:pPr>
        <w:spacing w:after="0" w:line="240" w:lineRule="auto"/>
        <w:rPr>
          <w:rFonts w:asciiTheme="minorHAnsi" w:hAnsiTheme="minorHAnsi" w:cstheme="minorBidi"/>
          <w:sz w:val="24"/>
          <w:szCs w:val="24"/>
        </w:rPr>
      </w:pPr>
      <w:r w:rsidRPr="08A4B5F2">
        <w:rPr>
          <w:rFonts w:asciiTheme="minorHAnsi" w:hAnsiTheme="minorHAnsi" w:cstheme="minorBidi"/>
          <w:sz w:val="24"/>
          <w:szCs w:val="24"/>
        </w:rPr>
        <w:t xml:space="preserve">Profitant d’une dynamique positive, Lexibook a renouvelé une campagne publicitaire digitale internationale majeure qui a généré à nouveau plus d’un milliard d’impressions digitales en 1 an sur ses produits sur la zone EMEA, étendue en fin d’année 2023 pour la première fois aux USA, offrant à la marque une notoriété inégalée. Les dépenses publicitaires totales incluant les participations publicitaires auprès des clients augmentent ainsi sensiblement de </w:t>
      </w:r>
      <w:r w:rsidR="2B64421D" w:rsidRPr="08A4B5F2">
        <w:rPr>
          <w:rFonts w:asciiTheme="minorHAnsi" w:hAnsiTheme="minorHAnsi" w:cstheme="minorBidi"/>
          <w:sz w:val="24"/>
          <w:szCs w:val="24"/>
        </w:rPr>
        <w:t>1,</w:t>
      </w:r>
      <w:r w:rsidR="444C39BB" w:rsidRPr="08A4B5F2">
        <w:rPr>
          <w:rFonts w:asciiTheme="minorHAnsi" w:hAnsiTheme="minorHAnsi" w:cstheme="minorBidi"/>
          <w:sz w:val="24"/>
          <w:szCs w:val="24"/>
        </w:rPr>
        <w:t>9</w:t>
      </w:r>
      <w:r w:rsidR="2B64421D" w:rsidRPr="08A4B5F2">
        <w:rPr>
          <w:rFonts w:asciiTheme="minorHAnsi" w:hAnsiTheme="minorHAnsi" w:cstheme="minorBidi"/>
          <w:sz w:val="24"/>
          <w:szCs w:val="24"/>
        </w:rPr>
        <w:t>M</w:t>
      </w:r>
      <w:r w:rsidRPr="08A4B5F2">
        <w:rPr>
          <w:rFonts w:asciiTheme="minorHAnsi" w:hAnsiTheme="minorHAnsi" w:cstheme="minorBidi"/>
          <w:sz w:val="24"/>
          <w:szCs w:val="24"/>
        </w:rPr>
        <w:t xml:space="preserve">€ et atteignent </w:t>
      </w:r>
      <w:r w:rsidR="26BE9880" w:rsidRPr="08A4B5F2">
        <w:rPr>
          <w:rFonts w:asciiTheme="minorHAnsi" w:hAnsiTheme="minorHAnsi" w:cstheme="minorBidi"/>
          <w:sz w:val="24"/>
          <w:szCs w:val="24"/>
        </w:rPr>
        <w:t>10,</w:t>
      </w:r>
      <w:r w:rsidR="0365BBFC" w:rsidRPr="08A4B5F2">
        <w:rPr>
          <w:rFonts w:asciiTheme="minorHAnsi" w:hAnsiTheme="minorHAnsi" w:cstheme="minorBidi"/>
          <w:sz w:val="24"/>
          <w:szCs w:val="24"/>
        </w:rPr>
        <w:t>8</w:t>
      </w:r>
      <w:r w:rsidRPr="08A4B5F2">
        <w:rPr>
          <w:rFonts w:asciiTheme="minorHAnsi" w:hAnsiTheme="minorHAnsi" w:cstheme="minorBidi"/>
          <w:sz w:val="24"/>
          <w:szCs w:val="24"/>
        </w:rPr>
        <w:t xml:space="preserve">M€ vs </w:t>
      </w:r>
      <w:r w:rsidR="5BA414FE" w:rsidRPr="08A4B5F2">
        <w:rPr>
          <w:rFonts w:asciiTheme="minorHAnsi" w:hAnsiTheme="minorHAnsi" w:cstheme="minorBidi"/>
          <w:sz w:val="24"/>
          <w:szCs w:val="24"/>
        </w:rPr>
        <w:t>8,</w:t>
      </w:r>
      <w:r w:rsidR="703AB4E6" w:rsidRPr="08A4B5F2">
        <w:rPr>
          <w:rFonts w:asciiTheme="minorHAnsi" w:hAnsiTheme="minorHAnsi" w:cstheme="minorBidi"/>
          <w:sz w:val="24"/>
          <w:szCs w:val="24"/>
        </w:rPr>
        <w:t>9</w:t>
      </w:r>
      <w:r w:rsidRPr="08A4B5F2">
        <w:rPr>
          <w:rFonts w:asciiTheme="minorHAnsi" w:hAnsiTheme="minorHAnsi" w:cstheme="minorBidi"/>
          <w:sz w:val="24"/>
          <w:szCs w:val="24"/>
        </w:rPr>
        <w:t xml:space="preserve">M€ en N-1. Les services extérieurs restent à un niveau élevé de </w:t>
      </w:r>
      <w:r w:rsidR="64F6D4C7" w:rsidRPr="08A4B5F2">
        <w:rPr>
          <w:rFonts w:asciiTheme="minorHAnsi" w:hAnsiTheme="minorHAnsi" w:cstheme="minorBidi"/>
          <w:sz w:val="24"/>
          <w:szCs w:val="24"/>
        </w:rPr>
        <w:t>22,4</w:t>
      </w:r>
      <w:r w:rsidRPr="08A4B5F2">
        <w:rPr>
          <w:rFonts w:asciiTheme="minorHAnsi" w:hAnsiTheme="minorHAnsi" w:cstheme="minorBidi"/>
          <w:sz w:val="24"/>
          <w:szCs w:val="24"/>
        </w:rPr>
        <w:t>M€, essentiellement du fait des dépenses publicitaires accrues et des prestations logistiques liées à la croissance du volume d’activité.</w:t>
      </w:r>
    </w:p>
    <w:p w14:paraId="31863069" w14:textId="5BD9D117" w:rsidR="001A6336" w:rsidRPr="00095F64" w:rsidRDefault="4A27256B" w:rsidP="6BEB91E7">
      <w:pPr>
        <w:spacing w:after="0" w:line="240" w:lineRule="auto"/>
        <w:rPr>
          <w:rFonts w:asciiTheme="minorHAnsi" w:hAnsiTheme="minorHAnsi" w:cstheme="minorBidi"/>
          <w:sz w:val="24"/>
          <w:szCs w:val="24"/>
          <w:lang w:val="fr"/>
        </w:rPr>
      </w:pPr>
      <w:r w:rsidRPr="6BEB91E7">
        <w:rPr>
          <w:rFonts w:asciiTheme="minorHAnsi" w:hAnsiTheme="minorHAnsi" w:cstheme="minorBidi"/>
          <w:sz w:val="24"/>
          <w:szCs w:val="24"/>
          <w:lang w:val="fr"/>
        </w:rPr>
        <w:t xml:space="preserve">Les charges de personnel progressent de </w:t>
      </w:r>
      <w:r w:rsidR="2A29B471" w:rsidRPr="6BEB91E7">
        <w:rPr>
          <w:rFonts w:asciiTheme="minorHAnsi" w:hAnsiTheme="minorHAnsi" w:cstheme="minorBidi"/>
          <w:sz w:val="24"/>
          <w:szCs w:val="24"/>
          <w:lang w:val="fr"/>
        </w:rPr>
        <w:t>0,5</w:t>
      </w:r>
      <w:r w:rsidRPr="6BEB91E7">
        <w:rPr>
          <w:rFonts w:asciiTheme="minorHAnsi" w:hAnsiTheme="minorHAnsi" w:cstheme="minorBidi"/>
          <w:sz w:val="24"/>
          <w:szCs w:val="24"/>
          <w:lang w:val="fr"/>
        </w:rPr>
        <w:t>M€ essentiellement du fait de bonus provisionnés au regard de la hausse d’activité et de l’embauche de quelques salariés.</w:t>
      </w:r>
    </w:p>
    <w:p w14:paraId="02B3B6F7" w14:textId="77AFEC49" w:rsidR="001A6336" w:rsidRPr="00095F64" w:rsidRDefault="4A27256B" w:rsidP="6BEB91E7">
      <w:pPr>
        <w:spacing w:after="0" w:line="240" w:lineRule="auto"/>
        <w:rPr>
          <w:rFonts w:asciiTheme="minorHAnsi" w:hAnsiTheme="minorHAnsi" w:cstheme="minorBidi"/>
          <w:sz w:val="24"/>
          <w:szCs w:val="24"/>
          <w:lang w:val="fr"/>
        </w:rPr>
      </w:pPr>
      <w:r w:rsidRPr="6BEB91E7">
        <w:rPr>
          <w:rFonts w:asciiTheme="minorHAnsi" w:hAnsiTheme="minorHAnsi" w:cstheme="minorBidi"/>
          <w:sz w:val="24"/>
          <w:szCs w:val="24"/>
          <w:lang w:val="fr"/>
        </w:rPr>
        <w:t xml:space="preserve">Les autres charges d’exploitation sont en augmentation </w:t>
      </w:r>
      <w:r w:rsidR="7867D188" w:rsidRPr="6BEB91E7">
        <w:rPr>
          <w:rFonts w:asciiTheme="minorHAnsi" w:hAnsiTheme="minorHAnsi" w:cstheme="minorBidi"/>
          <w:sz w:val="24"/>
          <w:szCs w:val="24"/>
          <w:lang w:val="fr"/>
        </w:rPr>
        <w:t>de 2,3</w:t>
      </w:r>
      <w:r w:rsidRPr="6BEB91E7">
        <w:rPr>
          <w:rFonts w:asciiTheme="minorHAnsi" w:hAnsiTheme="minorHAnsi" w:cstheme="minorBidi"/>
          <w:sz w:val="24"/>
          <w:szCs w:val="24"/>
          <w:lang w:val="fr"/>
        </w:rPr>
        <w:t xml:space="preserve">M€, notamment du fait de l’augmentation des charges de royautés de </w:t>
      </w:r>
      <w:r w:rsidR="388C836D" w:rsidRPr="6BEB91E7">
        <w:rPr>
          <w:rFonts w:asciiTheme="minorHAnsi" w:hAnsiTheme="minorHAnsi" w:cstheme="minorBidi"/>
          <w:sz w:val="24"/>
          <w:szCs w:val="24"/>
          <w:lang w:val="fr"/>
        </w:rPr>
        <w:t>1,</w:t>
      </w:r>
      <w:r w:rsidRPr="6BEB91E7">
        <w:rPr>
          <w:rFonts w:asciiTheme="minorHAnsi" w:hAnsiTheme="minorHAnsi" w:cstheme="minorBidi"/>
          <w:sz w:val="24"/>
          <w:szCs w:val="24"/>
          <w:lang w:val="fr"/>
        </w:rPr>
        <w:t>9 M€ liée à la hausse d’activité</w:t>
      </w:r>
      <w:r w:rsidR="00872962">
        <w:rPr>
          <w:rFonts w:asciiTheme="minorHAnsi" w:hAnsiTheme="minorHAnsi" w:cstheme="minorBidi"/>
          <w:sz w:val="24"/>
          <w:szCs w:val="24"/>
          <w:lang w:val="fr"/>
        </w:rPr>
        <w:t xml:space="preserve"> des produits sous licence</w:t>
      </w:r>
      <w:r w:rsidRPr="6BEB91E7">
        <w:rPr>
          <w:rFonts w:asciiTheme="minorHAnsi" w:hAnsiTheme="minorHAnsi" w:cstheme="minorBidi"/>
          <w:sz w:val="24"/>
          <w:szCs w:val="24"/>
          <w:lang w:val="fr"/>
        </w:rPr>
        <w:t>.</w:t>
      </w:r>
    </w:p>
    <w:p w14:paraId="6EFBA960" w14:textId="3E713733" w:rsidR="001A6336" w:rsidRPr="00095F64" w:rsidRDefault="7FB1BD39" w:rsidP="3A868EA2">
      <w:pPr>
        <w:spacing w:after="0" w:line="240" w:lineRule="auto"/>
        <w:rPr>
          <w:rFonts w:asciiTheme="minorHAnsi" w:hAnsiTheme="minorHAnsi" w:cstheme="minorBidi"/>
          <w:sz w:val="24"/>
          <w:szCs w:val="24"/>
          <w:lang w:val="fr"/>
        </w:rPr>
      </w:pPr>
      <w:r w:rsidRPr="3A868EA2">
        <w:rPr>
          <w:rFonts w:asciiTheme="minorHAnsi" w:hAnsiTheme="minorHAnsi" w:cstheme="minorBidi"/>
          <w:sz w:val="24"/>
          <w:szCs w:val="24"/>
          <w:lang w:val="fr"/>
        </w:rPr>
        <w:t xml:space="preserve"> </w:t>
      </w:r>
    </w:p>
    <w:p w14:paraId="1DBE3AA2" w14:textId="025CFE6A" w:rsidR="001A6336" w:rsidRDefault="7EE61D3D" w:rsidP="428B0D2F">
      <w:pPr>
        <w:spacing w:line="240" w:lineRule="atLeast"/>
        <w:rPr>
          <w:rFonts w:asciiTheme="minorHAnsi" w:hAnsiTheme="minorHAnsi" w:cstheme="minorBidi"/>
          <w:b/>
          <w:bCs/>
          <w:color w:val="0254A5"/>
          <w:u w:val="single"/>
          <w:lang w:val="fr"/>
        </w:rPr>
      </w:pPr>
      <w:r w:rsidRPr="428B0D2F">
        <w:rPr>
          <w:rFonts w:asciiTheme="minorHAnsi" w:hAnsiTheme="minorHAnsi" w:cstheme="minorBidi"/>
          <w:sz w:val="24"/>
          <w:szCs w:val="24"/>
          <w:lang w:val="fr"/>
        </w:rPr>
        <w:lastRenderedPageBreak/>
        <w:t xml:space="preserve">Finalement, grâce à la progression de la marge et malgré un investissement publicitaire conséquent réalisé au cours de l’année fiscale, le résultat d’exploitation du Groupe progresse plus vite que l’activité et atteint </w:t>
      </w:r>
      <w:r w:rsidR="0DF90317" w:rsidRPr="428B0D2F">
        <w:rPr>
          <w:rFonts w:asciiTheme="minorHAnsi" w:hAnsiTheme="minorHAnsi" w:cstheme="minorBidi"/>
          <w:sz w:val="24"/>
          <w:szCs w:val="24"/>
          <w:lang w:val="fr"/>
        </w:rPr>
        <w:t>8,1</w:t>
      </w:r>
      <w:r w:rsidRPr="428B0D2F">
        <w:rPr>
          <w:rFonts w:asciiTheme="minorHAnsi" w:hAnsiTheme="minorHAnsi" w:cstheme="minorBidi"/>
          <w:sz w:val="24"/>
          <w:szCs w:val="24"/>
          <w:lang w:val="fr"/>
        </w:rPr>
        <w:t xml:space="preserve"> M€ contre </w:t>
      </w:r>
      <w:r w:rsidR="7BD1F995" w:rsidRPr="428B0D2F">
        <w:rPr>
          <w:rFonts w:asciiTheme="minorHAnsi" w:hAnsiTheme="minorHAnsi" w:cstheme="minorBidi"/>
          <w:sz w:val="24"/>
          <w:szCs w:val="24"/>
          <w:lang w:val="fr"/>
        </w:rPr>
        <w:t>6,0</w:t>
      </w:r>
      <w:r w:rsidRPr="428B0D2F">
        <w:rPr>
          <w:rFonts w:asciiTheme="minorHAnsi" w:hAnsiTheme="minorHAnsi" w:cstheme="minorBidi"/>
          <w:sz w:val="24"/>
          <w:szCs w:val="24"/>
          <w:lang w:val="fr"/>
        </w:rPr>
        <w:t xml:space="preserve"> M€ en N-1</w:t>
      </w:r>
      <w:r w:rsidR="1FC871CC" w:rsidRPr="428B0D2F">
        <w:rPr>
          <w:rFonts w:asciiTheme="minorHAnsi" w:hAnsiTheme="minorHAnsi" w:cstheme="minorBidi"/>
          <w:sz w:val="24"/>
          <w:szCs w:val="24"/>
          <w:lang w:val="fr"/>
        </w:rPr>
        <w:t>.</w:t>
      </w:r>
    </w:p>
    <w:p w14:paraId="331B801F" w14:textId="77777777" w:rsidR="00472836" w:rsidRPr="00095F64" w:rsidRDefault="00472836" w:rsidP="0C1039A8">
      <w:pPr>
        <w:spacing w:after="0"/>
        <w:jc w:val="both"/>
      </w:pPr>
    </w:p>
    <w:p w14:paraId="6242DA3C" w14:textId="78468371" w:rsidR="001A6336" w:rsidRPr="00095F64" w:rsidRDefault="001A6336" w:rsidP="474DC56F">
      <w:pPr>
        <w:spacing w:after="0"/>
        <w:jc w:val="both"/>
        <w:rPr>
          <w:rFonts w:asciiTheme="minorHAnsi" w:hAnsiTheme="minorHAnsi" w:cstheme="minorBidi"/>
          <w:color w:val="000000" w:themeColor="text1"/>
          <w:lang w:val="fr"/>
        </w:rPr>
      </w:pPr>
    </w:p>
    <w:p w14:paraId="5024707F" w14:textId="1551FB4D" w:rsidR="474DC56F" w:rsidRDefault="474DC56F" w:rsidP="474DC56F">
      <w:pPr>
        <w:spacing w:after="0"/>
        <w:jc w:val="both"/>
        <w:rPr>
          <w:rFonts w:asciiTheme="minorHAnsi" w:hAnsiTheme="minorHAnsi" w:cstheme="minorBidi"/>
          <w:color w:val="000000" w:themeColor="text1"/>
          <w:lang w:val="fr"/>
        </w:rPr>
      </w:pPr>
    </w:p>
    <w:p w14:paraId="11F03F31" w14:textId="02CED0EC" w:rsidR="474DC56F" w:rsidRDefault="474DC56F" w:rsidP="474DC56F">
      <w:pPr>
        <w:spacing w:after="0"/>
        <w:jc w:val="both"/>
        <w:rPr>
          <w:rFonts w:asciiTheme="minorHAnsi" w:hAnsiTheme="minorHAnsi" w:cstheme="minorBidi"/>
          <w:color w:val="000000" w:themeColor="text1"/>
          <w:lang w:val="fr"/>
        </w:rPr>
      </w:pPr>
    </w:p>
    <w:p w14:paraId="1F4122C0" w14:textId="3A20CD3D" w:rsidR="001A6336" w:rsidRPr="00095F64" w:rsidRDefault="2FCA884B" w:rsidP="0C1039A8">
      <w:pPr>
        <w:spacing w:line="240" w:lineRule="atLeast"/>
        <w:rPr>
          <w:rFonts w:asciiTheme="minorHAnsi" w:hAnsiTheme="minorHAnsi" w:cstheme="minorBidi"/>
          <w:b/>
          <w:bCs/>
          <w:color w:val="0254A5"/>
          <w:u w:val="single"/>
        </w:rPr>
      </w:pPr>
      <w:r w:rsidRPr="0C1039A8">
        <w:rPr>
          <w:rFonts w:asciiTheme="minorHAnsi" w:hAnsiTheme="minorHAnsi" w:cstheme="minorBidi"/>
          <w:color w:val="000000" w:themeColor="text1"/>
          <w:lang w:val="fr"/>
        </w:rPr>
        <w:t xml:space="preserve"> </w:t>
      </w:r>
      <w:r w:rsidRPr="0C1039A8">
        <w:rPr>
          <w:rFonts w:asciiTheme="minorHAnsi" w:hAnsiTheme="minorHAnsi" w:cstheme="minorBidi"/>
          <w:b/>
          <w:bCs/>
          <w:color w:val="0254A5"/>
          <w:u w:val="single"/>
        </w:rPr>
        <w:t>Résultat financier :</w:t>
      </w:r>
    </w:p>
    <w:p w14:paraId="78403414" w14:textId="48BCB72A" w:rsidR="001A6336" w:rsidRPr="00095F64" w:rsidRDefault="2FCA884B" w:rsidP="0C1039A8">
      <w:pPr>
        <w:spacing w:after="0"/>
        <w:jc w:val="both"/>
        <w:rPr>
          <w:rFonts w:asciiTheme="minorHAnsi" w:hAnsiTheme="minorHAnsi" w:cstheme="minorBidi"/>
          <w:color w:val="000000" w:themeColor="text1"/>
          <w:lang w:val="fr"/>
        </w:rPr>
      </w:pPr>
      <w:r w:rsidRPr="0C1039A8">
        <w:rPr>
          <w:rFonts w:asciiTheme="minorHAnsi" w:hAnsiTheme="minorHAnsi" w:cstheme="minorBidi"/>
          <w:color w:val="000000" w:themeColor="text1"/>
          <w:lang w:val="fr"/>
        </w:rPr>
        <w:t xml:space="preserve"> </w:t>
      </w:r>
    </w:p>
    <w:p w14:paraId="7333BA9D" w14:textId="35A25DF1" w:rsidR="001A6336" w:rsidRPr="00095F64" w:rsidRDefault="72174466" w:rsidP="6BEB91E7">
      <w:pPr>
        <w:spacing w:after="0" w:line="240" w:lineRule="auto"/>
        <w:rPr>
          <w:rFonts w:asciiTheme="minorHAnsi" w:hAnsiTheme="minorHAnsi" w:cstheme="minorBidi"/>
          <w:sz w:val="24"/>
          <w:szCs w:val="24"/>
        </w:rPr>
      </w:pPr>
      <w:r w:rsidRPr="6BEB91E7">
        <w:rPr>
          <w:rFonts w:asciiTheme="minorHAnsi" w:hAnsiTheme="minorHAnsi" w:cstheme="minorBidi"/>
          <w:sz w:val="24"/>
          <w:szCs w:val="24"/>
        </w:rPr>
        <w:t xml:space="preserve">L’amélioration du résultat financier de </w:t>
      </w:r>
      <w:r w:rsidR="7C7ADAB1" w:rsidRPr="6BEB91E7">
        <w:rPr>
          <w:rFonts w:asciiTheme="minorHAnsi" w:hAnsiTheme="minorHAnsi" w:cstheme="minorBidi"/>
          <w:sz w:val="24"/>
          <w:szCs w:val="24"/>
        </w:rPr>
        <w:t>41</w:t>
      </w:r>
      <w:r w:rsidRPr="6BEB91E7">
        <w:rPr>
          <w:rFonts w:asciiTheme="minorHAnsi" w:hAnsiTheme="minorHAnsi" w:cstheme="minorBidi"/>
          <w:sz w:val="24"/>
          <w:szCs w:val="24"/>
        </w:rPr>
        <w:t xml:space="preserve">9 K€ trouve sa source principalement dans la </w:t>
      </w:r>
      <w:r w:rsidR="71BCFB7F" w:rsidRPr="6BEB91E7">
        <w:rPr>
          <w:rFonts w:asciiTheme="minorHAnsi" w:hAnsiTheme="minorHAnsi" w:cstheme="minorBidi"/>
          <w:sz w:val="24"/>
          <w:szCs w:val="24"/>
        </w:rPr>
        <w:t>baisse du coût de l’endettement net (305K€ en</w:t>
      </w:r>
      <w:r w:rsidR="0BB94226" w:rsidRPr="6BEB91E7">
        <w:rPr>
          <w:rFonts w:asciiTheme="minorHAnsi" w:hAnsiTheme="minorHAnsi" w:cstheme="minorBidi"/>
          <w:sz w:val="24"/>
          <w:szCs w:val="24"/>
        </w:rPr>
        <w:t xml:space="preserve"> 2025 contre 462K€ en 2024, soit 157K€ d’amélioration) e</w:t>
      </w:r>
      <w:r w:rsidR="3ACC2E1C" w:rsidRPr="6BEB91E7">
        <w:rPr>
          <w:rFonts w:asciiTheme="minorHAnsi" w:hAnsiTheme="minorHAnsi" w:cstheme="minorBidi"/>
          <w:sz w:val="24"/>
          <w:szCs w:val="24"/>
        </w:rPr>
        <w:t>t dans la baisse des pertes de change (917</w:t>
      </w:r>
      <w:r w:rsidR="5B63A866" w:rsidRPr="6BEB91E7">
        <w:rPr>
          <w:rFonts w:asciiTheme="minorHAnsi" w:hAnsiTheme="minorHAnsi" w:cstheme="minorBidi"/>
          <w:sz w:val="24"/>
          <w:szCs w:val="24"/>
        </w:rPr>
        <w:t>K€ en 2025 contre 2581K€ en 2024, améliorant l’impact de change net de 173K€</w:t>
      </w:r>
      <w:r w:rsidR="70282E9A" w:rsidRPr="6BEB91E7">
        <w:rPr>
          <w:rFonts w:asciiTheme="minorHAnsi" w:hAnsiTheme="minorHAnsi" w:cstheme="minorBidi"/>
          <w:sz w:val="24"/>
          <w:szCs w:val="24"/>
        </w:rPr>
        <w:t>)</w:t>
      </w:r>
      <w:r w:rsidRPr="6BEB91E7">
        <w:rPr>
          <w:rFonts w:asciiTheme="minorHAnsi" w:hAnsiTheme="minorHAnsi" w:cstheme="minorBidi"/>
          <w:sz w:val="24"/>
          <w:szCs w:val="24"/>
        </w:rPr>
        <w:t xml:space="preserve">. Malgré la hausse d’activité, le coût de l’endettement est en </w:t>
      </w:r>
      <w:r w:rsidR="1A0C0213" w:rsidRPr="6BEB91E7">
        <w:rPr>
          <w:rFonts w:asciiTheme="minorHAnsi" w:hAnsiTheme="minorHAnsi" w:cstheme="minorBidi"/>
          <w:sz w:val="24"/>
          <w:szCs w:val="24"/>
        </w:rPr>
        <w:t xml:space="preserve">baisse </w:t>
      </w:r>
      <w:r w:rsidRPr="6BEB91E7">
        <w:rPr>
          <w:rFonts w:asciiTheme="minorHAnsi" w:hAnsiTheme="minorHAnsi" w:cstheme="minorBidi"/>
          <w:sz w:val="24"/>
          <w:szCs w:val="24"/>
        </w:rPr>
        <w:t>du fait de l’optimisation de l’utilisation des lignes de financement court terme</w:t>
      </w:r>
      <w:r w:rsidR="5A512CD5" w:rsidRPr="6BEB91E7">
        <w:rPr>
          <w:rFonts w:asciiTheme="minorHAnsi" w:hAnsiTheme="minorHAnsi" w:cstheme="minorBidi"/>
          <w:sz w:val="24"/>
          <w:szCs w:val="24"/>
        </w:rPr>
        <w:t xml:space="preserve"> et de la réduction des prêts moyen terme</w:t>
      </w:r>
      <w:r w:rsidRPr="6BEB91E7">
        <w:rPr>
          <w:rFonts w:asciiTheme="minorHAnsi" w:hAnsiTheme="minorHAnsi" w:cstheme="minorBidi"/>
          <w:sz w:val="24"/>
          <w:szCs w:val="24"/>
        </w:rPr>
        <w:t xml:space="preserve">. Le Groupe a également bénéficié pour la </w:t>
      </w:r>
      <w:r w:rsidR="69E89CE6" w:rsidRPr="6BEB91E7">
        <w:rPr>
          <w:rFonts w:asciiTheme="minorHAnsi" w:hAnsiTheme="minorHAnsi" w:cstheme="minorBidi"/>
          <w:sz w:val="24"/>
          <w:szCs w:val="24"/>
        </w:rPr>
        <w:t xml:space="preserve">deuxième </w:t>
      </w:r>
      <w:r w:rsidRPr="6BEB91E7">
        <w:rPr>
          <w:rFonts w:asciiTheme="minorHAnsi" w:hAnsiTheme="minorHAnsi" w:cstheme="minorBidi"/>
          <w:sz w:val="24"/>
          <w:szCs w:val="24"/>
        </w:rPr>
        <w:t>année</w:t>
      </w:r>
      <w:r w:rsidR="1F501AC5" w:rsidRPr="6BEB91E7">
        <w:rPr>
          <w:rFonts w:asciiTheme="minorHAnsi" w:hAnsiTheme="minorHAnsi" w:cstheme="minorBidi"/>
          <w:sz w:val="24"/>
          <w:szCs w:val="24"/>
        </w:rPr>
        <w:t xml:space="preserve"> consécutive</w:t>
      </w:r>
      <w:r w:rsidRPr="6BEB91E7">
        <w:rPr>
          <w:rFonts w:asciiTheme="minorHAnsi" w:hAnsiTheme="minorHAnsi" w:cstheme="minorBidi"/>
          <w:sz w:val="24"/>
          <w:szCs w:val="24"/>
        </w:rPr>
        <w:t xml:space="preserve"> de revenus financiers liés au placement de sa trésorerie sur des comptes à terme après la saison de Noël.</w:t>
      </w:r>
    </w:p>
    <w:p w14:paraId="3CAFD212" w14:textId="5228C0E9" w:rsidR="001A6336" w:rsidRPr="00095F64" w:rsidRDefault="72174466" w:rsidP="6BEB91E7">
      <w:pPr>
        <w:spacing w:after="0" w:line="240" w:lineRule="auto"/>
        <w:rPr>
          <w:rFonts w:asciiTheme="minorHAnsi" w:hAnsiTheme="minorHAnsi" w:cstheme="minorBidi"/>
          <w:sz w:val="24"/>
          <w:szCs w:val="24"/>
          <w:highlight w:val="yellow"/>
          <w:lang w:val="fr"/>
        </w:rPr>
      </w:pPr>
      <w:r w:rsidRPr="6BEB91E7">
        <w:rPr>
          <w:rFonts w:asciiTheme="minorHAnsi" w:hAnsiTheme="minorHAnsi" w:cstheme="minorBidi"/>
          <w:sz w:val="24"/>
          <w:szCs w:val="24"/>
          <w:lang w:val="fr"/>
        </w:rPr>
        <w:t xml:space="preserve">Les impôts de la période représentent une charge de </w:t>
      </w:r>
      <w:r w:rsidR="6B7A217A" w:rsidRPr="6BEB91E7">
        <w:rPr>
          <w:rFonts w:asciiTheme="minorHAnsi" w:hAnsiTheme="minorHAnsi" w:cstheme="minorBidi"/>
          <w:sz w:val="24"/>
          <w:szCs w:val="24"/>
          <w:lang w:val="fr"/>
        </w:rPr>
        <w:t>959</w:t>
      </w:r>
      <w:r w:rsidRPr="6BEB91E7">
        <w:rPr>
          <w:rFonts w:asciiTheme="minorHAnsi" w:hAnsiTheme="minorHAnsi" w:cstheme="minorBidi"/>
          <w:sz w:val="24"/>
          <w:szCs w:val="24"/>
          <w:lang w:val="fr"/>
        </w:rPr>
        <w:t>K€ liée à des variations de valeur des actifs d'impôt différés pour 1</w:t>
      </w:r>
      <w:r w:rsidR="1FA11DA1" w:rsidRPr="6BEB91E7">
        <w:rPr>
          <w:rFonts w:asciiTheme="minorHAnsi" w:hAnsiTheme="minorHAnsi" w:cstheme="minorBidi"/>
          <w:sz w:val="24"/>
          <w:szCs w:val="24"/>
          <w:lang w:val="fr"/>
        </w:rPr>
        <w:t>83</w:t>
      </w:r>
      <w:r w:rsidRPr="6BEB91E7">
        <w:rPr>
          <w:rFonts w:asciiTheme="minorHAnsi" w:hAnsiTheme="minorHAnsi" w:cstheme="minorBidi"/>
          <w:sz w:val="24"/>
          <w:szCs w:val="24"/>
          <w:lang w:val="fr"/>
        </w:rPr>
        <w:t xml:space="preserve">K€ et à des provisions IS à payer pour </w:t>
      </w:r>
      <w:r w:rsidR="2DB58A5F" w:rsidRPr="6BEB91E7">
        <w:rPr>
          <w:rFonts w:asciiTheme="minorHAnsi" w:hAnsiTheme="minorHAnsi" w:cstheme="minorBidi"/>
          <w:sz w:val="24"/>
          <w:szCs w:val="24"/>
          <w:lang w:val="fr"/>
        </w:rPr>
        <w:t>1,1M</w:t>
      </w:r>
      <w:r w:rsidRPr="6BEB91E7">
        <w:rPr>
          <w:rFonts w:asciiTheme="minorHAnsi" w:hAnsiTheme="minorHAnsi" w:cstheme="minorBidi"/>
          <w:sz w:val="24"/>
          <w:szCs w:val="24"/>
          <w:lang w:val="fr"/>
        </w:rPr>
        <w:t>€.</w:t>
      </w:r>
    </w:p>
    <w:p w14:paraId="5AC45E90" w14:textId="23142B3B" w:rsidR="6BEB91E7" w:rsidRDefault="72174466" w:rsidP="474DC56F">
      <w:pPr>
        <w:tabs>
          <w:tab w:val="left" w:pos="306"/>
          <w:tab w:val="left" w:pos="1026"/>
          <w:tab w:val="left" w:pos="1746"/>
          <w:tab w:val="left" w:pos="2466"/>
          <w:tab w:val="left" w:pos="3186"/>
          <w:tab w:val="left" w:pos="3906"/>
          <w:tab w:val="left" w:pos="4626"/>
        </w:tabs>
        <w:spacing w:after="0" w:line="240" w:lineRule="auto"/>
        <w:rPr>
          <w:rFonts w:asciiTheme="minorHAnsi" w:hAnsiTheme="minorHAnsi" w:cstheme="minorBidi"/>
          <w:b/>
          <w:bCs/>
          <w:sz w:val="24"/>
          <w:szCs w:val="24"/>
          <w:lang w:val="fr"/>
        </w:rPr>
      </w:pPr>
      <w:r w:rsidRPr="474DC56F">
        <w:rPr>
          <w:rFonts w:asciiTheme="minorHAnsi" w:hAnsiTheme="minorHAnsi" w:cstheme="minorBidi"/>
          <w:b/>
          <w:bCs/>
          <w:sz w:val="24"/>
          <w:szCs w:val="24"/>
        </w:rPr>
        <w:t>Dans ce contexte, le résultat net consolidé au 31 mars 202</w:t>
      </w:r>
      <w:r w:rsidR="751BF80C" w:rsidRPr="474DC56F">
        <w:rPr>
          <w:rFonts w:asciiTheme="minorHAnsi" w:hAnsiTheme="minorHAnsi" w:cstheme="minorBidi"/>
          <w:b/>
          <w:bCs/>
          <w:sz w:val="24"/>
          <w:szCs w:val="24"/>
        </w:rPr>
        <w:t>5</w:t>
      </w:r>
      <w:r w:rsidRPr="474DC56F">
        <w:rPr>
          <w:rFonts w:asciiTheme="minorHAnsi" w:hAnsiTheme="minorHAnsi" w:cstheme="minorBidi"/>
          <w:b/>
          <w:bCs/>
          <w:sz w:val="24"/>
          <w:szCs w:val="24"/>
        </w:rPr>
        <w:t xml:space="preserve"> se porte à </w:t>
      </w:r>
      <w:r w:rsidR="59227F7B" w:rsidRPr="474DC56F">
        <w:rPr>
          <w:rFonts w:asciiTheme="minorHAnsi" w:hAnsiTheme="minorHAnsi" w:cstheme="minorBidi"/>
          <w:b/>
          <w:bCs/>
          <w:sz w:val="24"/>
          <w:szCs w:val="24"/>
        </w:rPr>
        <w:t>7,372</w:t>
      </w:r>
      <w:r w:rsidRPr="474DC56F">
        <w:rPr>
          <w:rFonts w:asciiTheme="minorHAnsi" w:hAnsiTheme="minorHAnsi" w:cstheme="minorBidi"/>
          <w:b/>
          <w:bCs/>
          <w:sz w:val="24"/>
          <w:szCs w:val="24"/>
        </w:rPr>
        <w:t xml:space="preserve"> M€ contre </w:t>
      </w:r>
      <w:r w:rsidR="79BB7631" w:rsidRPr="474DC56F">
        <w:rPr>
          <w:rFonts w:asciiTheme="minorHAnsi" w:hAnsiTheme="minorHAnsi" w:cstheme="minorBidi"/>
          <w:b/>
          <w:bCs/>
          <w:sz w:val="24"/>
          <w:szCs w:val="24"/>
        </w:rPr>
        <w:t>4,992</w:t>
      </w:r>
      <w:r w:rsidRPr="474DC56F">
        <w:rPr>
          <w:rFonts w:asciiTheme="minorHAnsi" w:hAnsiTheme="minorHAnsi" w:cstheme="minorBidi"/>
          <w:b/>
          <w:bCs/>
          <w:sz w:val="24"/>
          <w:szCs w:val="24"/>
        </w:rPr>
        <w:t xml:space="preserve"> M€ au 31 mars 202</w:t>
      </w:r>
      <w:r w:rsidR="66BCAF83" w:rsidRPr="474DC56F">
        <w:rPr>
          <w:rFonts w:asciiTheme="minorHAnsi" w:hAnsiTheme="minorHAnsi" w:cstheme="minorBidi"/>
          <w:b/>
          <w:bCs/>
          <w:sz w:val="24"/>
          <w:szCs w:val="24"/>
        </w:rPr>
        <w:t>4</w:t>
      </w:r>
      <w:r w:rsidRPr="474DC56F">
        <w:rPr>
          <w:rFonts w:asciiTheme="minorHAnsi" w:hAnsiTheme="minorHAnsi" w:cstheme="minorBidi"/>
          <w:b/>
          <w:bCs/>
          <w:sz w:val="24"/>
          <w:szCs w:val="24"/>
        </w:rPr>
        <w:t>.</w:t>
      </w:r>
    </w:p>
    <w:p w14:paraId="4B225019" w14:textId="77777777" w:rsidR="00215BBF" w:rsidRPr="00095F64" w:rsidRDefault="00215BBF" w:rsidP="0C1039A8">
      <w:pPr>
        <w:spacing w:after="0"/>
        <w:jc w:val="both"/>
        <w:rPr>
          <w:rFonts w:ascii="Arial" w:eastAsia="Arial" w:hAnsi="Arial" w:cs="Arial"/>
          <w:color w:val="000000" w:themeColor="text1"/>
          <w:sz w:val="20"/>
          <w:szCs w:val="20"/>
          <w:lang w:val="fr"/>
        </w:rPr>
      </w:pPr>
    </w:p>
    <w:p w14:paraId="72C41575" w14:textId="23C69695" w:rsidR="00596FDF" w:rsidRPr="007E1F95" w:rsidRDefault="14E15DE7" w:rsidP="00972896">
      <w:pPr>
        <w:autoSpaceDE w:val="0"/>
        <w:autoSpaceDN w:val="0"/>
        <w:adjustRightInd w:val="0"/>
        <w:spacing w:line="240" w:lineRule="atLeast"/>
        <w:rPr>
          <w:rFonts w:asciiTheme="minorHAnsi" w:hAnsiTheme="minorHAnsi" w:cstheme="minorHAnsi"/>
          <w:b/>
          <w:bCs/>
          <w:color w:val="0254A5"/>
          <w:u w:val="single"/>
        </w:rPr>
      </w:pPr>
      <w:r w:rsidRPr="6BEB91E7">
        <w:rPr>
          <w:rFonts w:asciiTheme="minorHAnsi" w:hAnsiTheme="minorHAnsi" w:cstheme="minorBidi"/>
          <w:b/>
          <w:bCs/>
          <w:color w:val="0254A5"/>
          <w:u w:val="single"/>
        </w:rPr>
        <w:t>N</w:t>
      </w:r>
      <w:r w:rsidR="4B614E02" w:rsidRPr="6BEB91E7">
        <w:rPr>
          <w:rFonts w:asciiTheme="minorHAnsi" w:hAnsiTheme="minorHAnsi" w:cstheme="minorBidi"/>
          <w:b/>
          <w:bCs/>
          <w:color w:val="0254A5"/>
          <w:u w:val="single"/>
        </w:rPr>
        <w:t>iveau de stock et d’endettement</w:t>
      </w:r>
    </w:p>
    <w:p w14:paraId="4822A7EE" w14:textId="12912B9D" w:rsidR="6F3BE054" w:rsidRDefault="6F3BE054" w:rsidP="6BEB91E7">
      <w:pPr>
        <w:spacing w:after="0"/>
        <w:jc w:val="both"/>
        <w:rPr>
          <w:rFonts w:asciiTheme="minorHAnsi" w:hAnsiTheme="minorHAnsi" w:cstheme="minorBidi"/>
          <w:sz w:val="24"/>
          <w:szCs w:val="24"/>
          <w:lang w:val="fr"/>
        </w:rPr>
      </w:pPr>
      <w:r w:rsidRPr="6BEB91E7">
        <w:rPr>
          <w:rFonts w:asciiTheme="minorHAnsi" w:hAnsiTheme="minorHAnsi" w:cstheme="minorBidi"/>
          <w:sz w:val="24"/>
          <w:szCs w:val="24"/>
        </w:rPr>
        <w:t>Le niveau des stocks, en valeur nette de dépréciations, s’établit à 17,0 M€ au 31 mars 2025, en hausse de 5,2 M€ par rapport à l’année précédente (11,9 M€ au 31/03/2024). Cette progression s’explique principalement par l’augmentation de l’activité, ainsi que par une stratégie de renforcement des stocks aux États-Unis, où ils atteignent 3,2 M€. Cette anticipation logistique vise à soutenir le développement commercial sur le continent américain tout en bénéficiant d’un effet favorable lié à l’entrée des marchandises avant la mise en place de nouveaux droits de douane. En France, les stocks augmentent également, de 3,8 M€, pour atteindre 13,6 M€ en prévision des opérations commerciales attendues sur le Q1 fiscal 2025-26 liées à la sortie du film Stitch.</w:t>
      </w:r>
    </w:p>
    <w:p w14:paraId="5C11B222" w14:textId="2B1D243D" w:rsidR="0C1039A8" w:rsidRDefault="0C1039A8" w:rsidP="3A868EA2">
      <w:pPr>
        <w:spacing w:after="0"/>
        <w:jc w:val="both"/>
        <w:rPr>
          <w:rFonts w:asciiTheme="minorHAnsi" w:hAnsiTheme="minorHAnsi" w:cstheme="minorBidi"/>
          <w:sz w:val="24"/>
          <w:szCs w:val="24"/>
          <w:lang w:val="fr"/>
        </w:rPr>
      </w:pPr>
    </w:p>
    <w:p w14:paraId="501CC3C2" w14:textId="34C09255" w:rsidR="74E9D5E7" w:rsidRDefault="641AB5A1" w:rsidP="6BEB91E7">
      <w:pPr>
        <w:spacing w:after="0"/>
        <w:jc w:val="both"/>
        <w:rPr>
          <w:rFonts w:asciiTheme="minorHAnsi" w:hAnsiTheme="minorHAnsi" w:cstheme="minorBidi"/>
          <w:sz w:val="24"/>
          <w:szCs w:val="24"/>
          <w:lang w:val="fr"/>
        </w:rPr>
      </w:pPr>
      <w:r w:rsidRPr="6BEB91E7">
        <w:rPr>
          <w:rFonts w:asciiTheme="minorHAnsi" w:hAnsiTheme="minorHAnsi" w:cstheme="minorBidi"/>
          <w:sz w:val="24"/>
          <w:szCs w:val="24"/>
          <w:lang w:val="fr"/>
        </w:rPr>
        <w:t>Le taux de dépréciation moyen est à 12</w:t>
      </w:r>
      <w:r w:rsidR="3D990927" w:rsidRPr="6BEB91E7">
        <w:rPr>
          <w:rFonts w:asciiTheme="minorHAnsi" w:hAnsiTheme="minorHAnsi" w:cstheme="minorBidi"/>
          <w:sz w:val="24"/>
          <w:szCs w:val="24"/>
          <w:lang w:val="fr"/>
        </w:rPr>
        <w:t>,</w:t>
      </w:r>
      <w:r w:rsidRPr="6BEB91E7">
        <w:rPr>
          <w:rFonts w:asciiTheme="minorHAnsi" w:hAnsiTheme="minorHAnsi" w:cstheme="minorBidi"/>
          <w:sz w:val="24"/>
          <w:szCs w:val="24"/>
          <w:lang w:val="fr"/>
        </w:rPr>
        <w:t>2 % au 31 mars 202</w:t>
      </w:r>
      <w:r w:rsidR="63B6F5FF" w:rsidRPr="6BEB91E7">
        <w:rPr>
          <w:rFonts w:asciiTheme="minorHAnsi" w:hAnsiTheme="minorHAnsi" w:cstheme="minorBidi"/>
          <w:sz w:val="24"/>
          <w:szCs w:val="24"/>
          <w:lang w:val="fr"/>
        </w:rPr>
        <w:t>5</w:t>
      </w:r>
      <w:r w:rsidRPr="6BEB91E7">
        <w:rPr>
          <w:rFonts w:asciiTheme="minorHAnsi" w:hAnsiTheme="minorHAnsi" w:cstheme="minorBidi"/>
          <w:sz w:val="24"/>
          <w:szCs w:val="24"/>
          <w:lang w:val="fr"/>
        </w:rPr>
        <w:t xml:space="preserve"> versus </w:t>
      </w:r>
      <w:r w:rsidR="427B33C0" w:rsidRPr="6BEB91E7">
        <w:rPr>
          <w:rFonts w:asciiTheme="minorHAnsi" w:hAnsiTheme="minorHAnsi" w:cstheme="minorBidi"/>
          <w:sz w:val="24"/>
          <w:szCs w:val="24"/>
          <w:lang w:val="fr"/>
        </w:rPr>
        <w:t>12,2</w:t>
      </w:r>
      <w:r w:rsidRPr="6BEB91E7">
        <w:rPr>
          <w:rFonts w:asciiTheme="minorHAnsi" w:hAnsiTheme="minorHAnsi" w:cstheme="minorBidi"/>
          <w:sz w:val="24"/>
          <w:szCs w:val="24"/>
          <w:lang w:val="fr"/>
        </w:rPr>
        <w:t xml:space="preserve"> % au 31 mars 202</w:t>
      </w:r>
      <w:r w:rsidR="1B3EBA06" w:rsidRPr="6BEB91E7">
        <w:rPr>
          <w:rFonts w:asciiTheme="minorHAnsi" w:hAnsiTheme="minorHAnsi" w:cstheme="minorBidi"/>
          <w:sz w:val="24"/>
          <w:szCs w:val="24"/>
          <w:lang w:val="fr"/>
        </w:rPr>
        <w:t>4</w:t>
      </w:r>
      <w:r w:rsidRPr="6BEB91E7">
        <w:rPr>
          <w:rFonts w:asciiTheme="minorHAnsi" w:hAnsiTheme="minorHAnsi" w:cstheme="minorBidi"/>
          <w:sz w:val="24"/>
          <w:szCs w:val="24"/>
          <w:lang w:val="fr"/>
        </w:rPr>
        <w:t>.</w:t>
      </w:r>
      <w:r w:rsidR="1B3AF38A" w:rsidRPr="6BEB91E7">
        <w:rPr>
          <w:rFonts w:asciiTheme="minorHAnsi" w:hAnsiTheme="minorHAnsi" w:cstheme="minorBidi"/>
          <w:sz w:val="24"/>
          <w:szCs w:val="24"/>
          <w:lang w:val="fr"/>
        </w:rPr>
        <w:t xml:space="preserve"> </w:t>
      </w:r>
      <w:r w:rsidRPr="6BEB91E7">
        <w:rPr>
          <w:rFonts w:asciiTheme="minorHAnsi" w:hAnsiTheme="minorHAnsi" w:cstheme="minorBidi"/>
          <w:sz w:val="24"/>
          <w:szCs w:val="24"/>
          <w:lang w:val="fr"/>
        </w:rPr>
        <w:t>Ce taux moyen re</w:t>
      </w:r>
      <w:r w:rsidR="4CEBE1E5" w:rsidRPr="6BEB91E7">
        <w:rPr>
          <w:rFonts w:asciiTheme="minorHAnsi" w:hAnsiTheme="minorHAnsi" w:cstheme="minorBidi"/>
          <w:sz w:val="24"/>
          <w:szCs w:val="24"/>
          <w:lang w:val="fr"/>
        </w:rPr>
        <w:t xml:space="preserve">ste stable </w:t>
      </w:r>
      <w:r w:rsidRPr="6BEB91E7">
        <w:rPr>
          <w:rFonts w:asciiTheme="minorHAnsi" w:hAnsiTheme="minorHAnsi" w:cstheme="minorBidi"/>
          <w:sz w:val="24"/>
          <w:szCs w:val="24"/>
          <w:lang w:val="fr"/>
        </w:rPr>
        <w:t>afin de permettre au Groupe de conserver un stock sain et en-dessous de son objectif de 25% du CA.</w:t>
      </w:r>
    </w:p>
    <w:p w14:paraId="58E70D08" w14:textId="22D5ABDD" w:rsidR="0C1039A8" w:rsidRDefault="0C1039A8" w:rsidP="00167B7D">
      <w:pPr>
        <w:spacing w:after="0"/>
        <w:jc w:val="both"/>
        <w:rPr>
          <w:rFonts w:asciiTheme="minorHAnsi" w:hAnsiTheme="minorHAnsi" w:cstheme="minorBidi"/>
          <w:sz w:val="24"/>
          <w:szCs w:val="24"/>
          <w:lang w:val="fr"/>
        </w:rPr>
      </w:pPr>
    </w:p>
    <w:p w14:paraId="0D24FB73" w14:textId="57E2F41E" w:rsidR="56B49095" w:rsidRDefault="56B49095" w:rsidP="6BEB91E7">
      <w:pPr>
        <w:spacing w:after="0"/>
        <w:jc w:val="both"/>
        <w:rPr>
          <w:rFonts w:asciiTheme="minorHAnsi" w:hAnsiTheme="minorHAnsi" w:cstheme="minorBidi"/>
          <w:sz w:val="24"/>
          <w:szCs w:val="24"/>
        </w:rPr>
      </w:pPr>
      <w:r w:rsidRPr="6BEB91E7">
        <w:rPr>
          <w:rFonts w:asciiTheme="minorHAnsi" w:hAnsiTheme="minorHAnsi" w:cstheme="minorBidi"/>
          <w:sz w:val="24"/>
          <w:szCs w:val="24"/>
        </w:rPr>
        <w:t xml:space="preserve">Le Groupe est passé en position de trésorerie nette à hauteur de 7,1M€ à la clôture, contre une position de trésorerie nette de 2,0M€ l’année dernière. Cette variation résulte principalement de la variation nette de trésorerie de +3,9M€, du remboursement des dettes court termes (+ 1491K€) et de la variation de l’affacturage (- 269K€). LEXIBOOK a en effet remboursé un total de 1491 K€ pour le Prêt Pour l’Innovation obtenu de la BPI, le GIAC et le PGE, contribuant au désendettement du Groupe, qui atteint un point bas historique.  </w:t>
      </w:r>
    </w:p>
    <w:p w14:paraId="1773FE60" w14:textId="740CEF25" w:rsidR="00603E78" w:rsidRPr="00095F64" w:rsidRDefault="00603E78" w:rsidP="6BEB91E7">
      <w:pPr>
        <w:spacing w:after="0"/>
        <w:jc w:val="both"/>
        <w:rPr>
          <w:rFonts w:asciiTheme="minorHAnsi" w:hAnsiTheme="minorHAnsi" w:cstheme="minorBidi"/>
          <w:sz w:val="24"/>
          <w:szCs w:val="24"/>
          <w:lang w:val="fr"/>
        </w:rPr>
      </w:pPr>
    </w:p>
    <w:p w14:paraId="0482BADB" w14:textId="6280AD5C" w:rsidR="001D1C3B" w:rsidRDefault="4F6E49DC" w:rsidP="6BEB91E7">
      <w:pPr>
        <w:spacing w:after="0"/>
        <w:jc w:val="both"/>
        <w:rPr>
          <w:rFonts w:asciiTheme="minorHAnsi" w:hAnsiTheme="minorHAnsi" w:cstheme="minorBidi"/>
          <w:b/>
          <w:bCs/>
          <w:color w:val="0254A5"/>
          <w:u w:val="single"/>
        </w:rPr>
      </w:pPr>
      <w:r w:rsidRPr="6BEB91E7">
        <w:rPr>
          <w:rFonts w:asciiTheme="minorHAnsi" w:hAnsiTheme="minorHAnsi" w:cstheme="minorBidi"/>
          <w:b/>
          <w:bCs/>
          <w:color w:val="0254A5"/>
          <w:u w:val="single"/>
        </w:rPr>
        <w:lastRenderedPageBreak/>
        <w:t>Perspectives</w:t>
      </w:r>
      <w:r w:rsidR="27584BF0" w:rsidRPr="6BEB91E7">
        <w:rPr>
          <w:rFonts w:asciiTheme="minorHAnsi" w:hAnsiTheme="minorHAnsi" w:cstheme="minorBidi"/>
          <w:b/>
          <w:bCs/>
          <w:color w:val="0254A5"/>
          <w:u w:val="single"/>
        </w:rPr>
        <w:t xml:space="preserve"> 20</w:t>
      </w:r>
      <w:r w:rsidR="37CBCB18" w:rsidRPr="6BEB91E7">
        <w:rPr>
          <w:rFonts w:asciiTheme="minorHAnsi" w:hAnsiTheme="minorHAnsi" w:cstheme="minorBidi"/>
          <w:b/>
          <w:bCs/>
          <w:color w:val="0254A5"/>
          <w:u w:val="single"/>
        </w:rPr>
        <w:t>2</w:t>
      </w:r>
      <w:r w:rsidR="63B78DE3" w:rsidRPr="6BEB91E7">
        <w:rPr>
          <w:rFonts w:asciiTheme="minorHAnsi" w:hAnsiTheme="minorHAnsi" w:cstheme="minorBidi"/>
          <w:b/>
          <w:bCs/>
          <w:color w:val="0254A5"/>
          <w:u w:val="single"/>
        </w:rPr>
        <w:t>5</w:t>
      </w:r>
      <w:r w:rsidR="27584BF0" w:rsidRPr="6BEB91E7">
        <w:rPr>
          <w:rFonts w:asciiTheme="minorHAnsi" w:hAnsiTheme="minorHAnsi" w:cstheme="minorBidi"/>
          <w:b/>
          <w:bCs/>
          <w:color w:val="0254A5"/>
          <w:u w:val="single"/>
        </w:rPr>
        <w:t>-20</w:t>
      </w:r>
      <w:r w:rsidR="4CE4D5C2" w:rsidRPr="6BEB91E7">
        <w:rPr>
          <w:rFonts w:asciiTheme="minorHAnsi" w:hAnsiTheme="minorHAnsi" w:cstheme="minorBidi"/>
          <w:b/>
          <w:bCs/>
          <w:color w:val="0254A5"/>
          <w:u w:val="single"/>
        </w:rPr>
        <w:t>2</w:t>
      </w:r>
      <w:r w:rsidR="5CF93666" w:rsidRPr="6BEB91E7">
        <w:rPr>
          <w:rFonts w:asciiTheme="minorHAnsi" w:hAnsiTheme="minorHAnsi" w:cstheme="minorBidi"/>
          <w:b/>
          <w:bCs/>
          <w:color w:val="0254A5"/>
          <w:u w:val="single"/>
        </w:rPr>
        <w:t>6</w:t>
      </w:r>
      <w:r w:rsidR="6095AEEB" w:rsidRPr="6BEB91E7">
        <w:rPr>
          <w:rFonts w:ascii="Arial" w:eastAsia="Arial" w:hAnsi="Arial" w:cs="Arial"/>
          <w:color w:val="000000" w:themeColor="text1"/>
          <w:sz w:val="20"/>
          <w:szCs w:val="20"/>
          <w:lang w:val="fr"/>
        </w:rPr>
        <w:t xml:space="preserve"> </w:t>
      </w:r>
    </w:p>
    <w:p w14:paraId="046BC711" w14:textId="722DD1F3" w:rsidR="0C1039A8" w:rsidRDefault="0C1039A8" w:rsidP="0C1039A8">
      <w:pPr>
        <w:spacing w:after="0"/>
        <w:jc w:val="both"/>
        <w:rPr>
          <w:rFonts w:ascii="Arial" w:eastAsia="Arial" w:hAnsi="Arial" w:cs="Arial"/>
          <w:color w:val="000000" w:themeColor="text1"/>
          <w:sz w:val="20"/>
          <w:szCs w:val="20"/>
        </w:rPr>
      </w:pPr>
    </w:p>
    <w:p w14:paraId="442CFB05" w14:textId="706AE16C" w:rsidR="79861EA0" w:rsidRDefault="00074900" w:rsidP="6BEB91E7">
      <w:pPr>
        <w:spacing w:after="0"/>
        <w:jc w:val="both"/>
        <w:rPr>
          <w:rFonts w:asciiTheme="minorHAnsi" w:hAnsiTheme="minorHAnsi" w:cstheme="minorBidi"/>
          <w:sz w:val="24"/>
          <w:szCs w:val="24"/>
          <w:lang w:val="fr"/>
        </w:rPr>
      </w:pPr>
      <w:r>
        <w:rPr>
          <w:rFonts w:asciiTheme="minorHAnsi" w:hAnsiTheme="minorHAnsi" w:cstheme="minorBidi"/>
          <w:sz w:val="24"/>
          <w:szCs w:val="24"/>
        </w:rPr>
        <w:t>Lexibook</w:t>
      </w:r>
      <w:r w:rsidR="79861EA0" w:rsidRPr="6BEB91E7">
        <w:rPr>
          <w:rFonts w:asciiTheme="minorHAnsi" w:hAnsiTheme="minorHAnsi" w:cstheme="minorBidi"/>
          <w:sz w:val="24"/>
          <w:szCs w:val="24"/>
        </w:rPr>
        <w:t xml:space="preserve"> a présenté ses collections 2025 à la distribution internationale et l’accueil des nouveautés a été positif. Les référencements pour la campagne de Noël 2025 sont encourageants et permettent d’envisager un nouvel exercice 2025-26 dans la lignée de 2024-25. Le carnet de commandes laisse entrevoir un niveau d’activité en croissance sensible par rapport à l’année dernière sur le T1 2024-25 en particulier grâce à l’effet « Stitch » avec la sortie du film en Mai 2025. Lexibook espère pouvoir continuer sur sa lancée cette année.  </w:t>
      </w:r>
    </w:p>
    <w:p w14:paraId="766C1399" w14:textId="18A27B36" w:rsidR="79861EA0" w:rsidRDefault="79861EA0" w:rsidP="6BEB91E7">
      <w:pPr>
        <w:spacing w:after="0"/>
        <w:jc w:val="both"/>
      </w:pPr>
      <w:r w:rsidRPr="6BEB91E7">
        <w:rPr>
          <w:rFonts w:asciiTheme="minorHAnsi" w:hAnsiTheme="minorHAnsi" w:cstheme="minorBidi"/>
          <w:sz w:val="24"/>
          <w:szCs w:val="24"/>
          <w:lang w:val="fr"/>
        </w:rPr>
        <w:t xml:space="preserve"> </w:t>
      </w:r>
    </w:p>
    <w:p w14:paraId="509AC5B3" w14:textId="7CD70725" w:rsidR="79861EA0" w:rsidRDefault="79861EA0" w:rsidP="6BEB91E7">
      <w:pPr>
        <w:spacing w:after="0"/>
        <w:jc w:val="both"/>
      </w:pPr>
      <w:r w:rsidRPr="6BEB91E7">
        <w:rPr>
          <w:rFonts w:asciiTheme="minorHAnsi" w:hAnsiTheme="minorHAnsi" w:cstheme="minorBidi"/>
          <w:sz w:val="24"/>
          <w:szCs w:val="24"/>
        </w:rPr>
        <w:t>La hausse brutale des « </w:t>
      </w:r>
      <w:proofErr w:type="spellStart"/>
      <w:r w:rsidRPr="6BEB91E7">
        <w:rPr>
          <w:rFonts w:asciiTheme="minorHAnsi" w:hAnsiTheme="minorHAnsi" w:cstheme="minorBidi"/>
          <w:sz w:val="24"/>
          <w:szCs w:val="24"/>
        </w:rPr>
        <w:t>tariffs</w:t>
      </w:r>
      <w:proofErr w:type="spellEnd"/>
      <w:r w:rsidRPr="6BEB91E7">
        <w:rPr>
          <w:rFonts w:asciiTheme="minorHAnsi" w:hAnsiTheme="minorHAnsi" w:cstheme="minorBidi"/>
          <w:sz w:val="24"/>
          <w:szCs w:val="24"/>
        </w:rPr>
        <w:t xml:space="preserve"> » portant les droits de douane aux USA sur la quasi-totalité des produits du Groupe à 30% vs 0% en 2024 complique également la croissance sur ce pays et risque d’impacter fortement la consommation et d’affecter les marges. </w:t>
      </w:r>
      <w:r w:rsidR="00E727D9">
        <w:rPr>
          <w:rFonts w:asciiTheme="minorHAnsi" w:hAnsiTheme="minorHAnsi" w:cstheme="minorBidi"/>
          <w:sz w:val="24"/>
          <w:szCs w:val="24"/>
        </w:rPr>
        <w:t>Un coup d’arrêt pourrait même se produire si l’</w:t>
      </w:r>
      <w:r w:rsidR="00730084">
        <w:rPr>
          <w:rFonts w:asciiTheme="minorHAnsi" w:hAnsiTheme="minorHAnsi" w:cstheme="minorBidi"/>
          <w:sz w:val="24"/>
          <w:szCs w:val="24"/>
        </w:rPr>
        <w:t>administration</w:t>
      </w:r>
      <w:r w:rsidR="00E727D9">
        <w:rPr>
          <w:rFonts w:asciiTheme="minorHAnsi" w:hAnsiTheme="minorHAnsi" w:cstheme="minorBidi"/>
          <w:sz w:val="24"/>
          <w:szCs w:val="24"/>
        </w:rPr>
        <w:t xml:space="preserve"> Trump </w:t>
      </w:r>
      <w:r w:rsidR="00730084">
        <w:rPr>
          <w:rFonts w:asciiTheme="minorHAnsi" w:hAnsiTheme="minorHAnsi" w:cstheme="minorBidi"/>
          <w:sz w:val="24"/>
          <w:szCs w:val="24"/>
        </w:rPr>
        <w:t xml:space="preserve">mettait </w:t>
      </w:r>
      <w:r w:rsidR="001F54C5">
        <w:rPr>
          <w:rFonts w:asciiTheme="minorHAnsi" w:hAnsiTheme="minorHAnsi" w:cstheme="minorBidi"/>
          <w:sz w:val="24"/>
          <w:szCs w:val="24"/>
        </w:rPr>
        <w:t xml:space="preserve">en application sa menace de les porter à 55% à compter de fin </w:t>
      </w:r>
      <w:r w:rsidR="00923B37">
        <w:rPr>
          <w:rFonts w:asciiTheme="minorHAnsi" w:hAnsiTheme="minorHAnsi" w:cstheme="minorBidi"/>
          <w:sz w:val="24"/>
          <w:szCs w:val="24"/>
        </w:rPr>
        <w:t>août</w:t>
      </w:r>
      <w:r w:rsidR="001F54C5">
        <w:rPr>
          <w:rFonts w:asciiTheme="minorHAnsi" w:hAnsiTheme="minorHAnsi" w:cstheme="minorBidi"/>
          <w:sz w:val="24"/>
          <w:szCs w:val="24"/>
        </w:rPr>
        <w:t xml:space="preserve"> 2025.</w:t>
      </w:r>
      <w:r w:rsidRPr="6BEB91E7">
        <w:rPr>
          <w:rFonts w:asciiTheme="minorHAnsi" w:hAnsiTheme="minorHAnsi" w:cstheme="minorBidi"/>
          <w:sz w:val="24"/>
          <w:szCs w:val="24"/>
        </w:rPr>
        <w:t xml:space="preserve">  </w:t>
      </w:r>
    </w:p>
    <w:p w14:paraId="4210A1F6" w14:textId="2B853D57" w:rsidR="79861EA0" w:rsidRDefault="79861EA0" w:rsidP="6BEB91E7">
      <w:pPr>
        <w:spacing w:after="0"/>
        <w:jc w:val="both"/>
      </w:pPr>
      <w:r w:rsidRPr="6BEB91E7">
        <w:rPr>
          <w:rFonts w:asciiTheme="minorHAnsi" w:hAnsiTheme="minorHAnsi" w:cstheme="minorBidi"/>
          <w:sz w:val="24"/>
          <w:szCs w:val="24"/>
          <w:lang w:val="fr"/>
        </w:rPr>
        <w:t xml:space="preserve"> </w:t>
      </w:r>
    </w:p>
    <w:p w14:paraId="7A88ABBD" w14:textId="0B3271E6" w:rsidR="79861EA0" w:rsidRDefault="79861EA0" w:rsidP="6BEB91E7">
      <w:pPr>
        <w:spacing w:after="0"/>
        <w:jc w:val="both"/>
      </w:pPr>
      <w:r w:rsidRPr="6BEB91E7">
        <w:rPr>
          <w:rFonts w:asciiTheme="minorHAnsi" w:hAnsiTheme="minorHAnsi" w:cstheme="minorBidi"/>
          <w:sz w:val="24"/>
          <w:szCs w:val="24"/>
        </w:rPr>
        <w:t xml:space="preserve">L’instabilité persistante des relations commerciales entre les États-Unis et le reste du monde, en particulier avec la Chine, constitue un facteur de risque significatif pour l’activité. Étant donné que 100 % des produits de Lexibook sont fabriqués en Chine, toute hausse des droits de douane ou l’absence d’accord commercial durable pourrait fragiliser la compétitivité des produits sur le marché américain. Ce contexte pourrait ainsi freiner la croissance aux États-Unis, marché stratégique pour le développement du Groupe. Les risques sur un essoufflement de la consommation sur les autres territoires </w:t>
      </w:r>
      <w:r w:rsidR="00E2704A">
        <w:rPr>
          <w:rFonts w:asciiTheme="minorHAnsi" w:hAnsiTheme="minorHAnsi" w:cstheme="minorBidi"/>
          <w:sz w:val="24"/>
          <w:szCs w:val="24"/>
        </w:rPr>
        <w:t>sont</w:t>
      </w:r>
      <w:r w:rsidRPr="6BEB91E7">
        <w:rPr>
          <w:rFonts w:asciiTheme="minorHAnsi" w:hAnsiTheme="minorHAnsi" w:cstheme="minorBidi"/>
          <w:sz w:val="24"/>
          <w:szCs w:val="24"/>
        </w:rPr>
        <w:t xml:space="preserve"> </w:t>
      </w:r>
      <w:r w:rsidR="00261F82" w:rsidRPr="6BEB91E7">
        <w:rPr>
          <w:rFonts w:asciiTheme="minorHAnsi" w:hAnsiTheme="minorHAnsi" w:cstheme="minorBidi"/>
          <w:sz w:val="24"/>
          <w:szCs w:val="24"/>
        </w:rPr>
        <w:t>également réel</w:t>
      </w:r>
      <w:r w:rsidR="00261F82">
        <w:rPr>
          <w:rFonts w:asciiTheme="minorHAnsi" w:hAnsiTheme="minorHAnsi" w:cstheme="minorBidi"/>
          <w:sz w:val="24"/>
          <w:szCs w:val="24"/>
        </w:rPr>
        <w:t>s</w:t>
      </w:r>
      <w:r w:rsidR="00261F82" w:rsidRPr="6BEB91E7">
        <w:rPr>
          <w:rFonts w:asciiTheme="minorHAnsi" w:hAnsiTheme="minorHAnsi" w:cstheme="minorBidi"/>
          <w:sz w:val="24"/>
          <w:szCs w:val="24"/>
        </w:rPr>
        <w:t xml:space="preserve"> comptes tenus</w:t>
      </w:r>
      <w:r w:rsidRPr="6BEB91E7">
        <w:rPr>
          <w:rFonts w:asciiTheme="minorHAnsi" w:hAnsiTheme="minorHAnsi" w:cstheme="minorBidi"/>
          <w:sz w:val="24"/>
          <w:szCs w:val="24"/>
        </w:rPr>
        <w:t xml:space="preserve"> du contexte géopolitique mondial. De manière plus spécifique, l’effet porteur de la licence Stitch reste très marqué sur le début de l’exercice, mais un ralentissement inévitable lié au cycle de vie classique des licences commence à se faire sentir. Si la dynamique liée à l’effet de mode venait à s’estomper, un recul plus significatif pourrait affecter les prochains exercices si d’autres licences ne prenaient pas le relais, avec un impact potentiel important sur le chiffre d’affaires, les produits Stitch représentant actuellement environ 25 % </w:t>
      </w:r>
      <w:r w:rsidR="00E2704A">
        <w:rPr>
          <w:rFonts w:asciiTheme="minorHAnsi" w:hAnsiTheme="minorHAnsi" w:cstheme="minorBidi"/>
          <w:sz w:val="24"/>
          <w:szCs w:val="24"/>
        </w:rPr>
        <w:t>de l’activité</w:t>
      </w:r>
      <w:r w:rsidRPr="6BEB91E7">
        <w:rPr>
          <w:rFonts w:asciiTheme="minorHAnsi" w:hAnsiTheme="minorHAnsi" w:cstheme="minorBidi"/>
          <w:sz w:val="24"/>
          <w:szCs w:val="24"/>
        </w:rPr>
        <w:t xml:space="preserve"> du Groupe. </w:t>
      </w:r>
    </w:p>
    <w:p w14:paraId="26CA158C" w14:textId="2412162D" w:rsidR="79861EA0" w:rsidRDefault="79861EA0" w:rsidP="6BEB91E7">
      <w:pPr>
        <w:spacing w:after="0"/>
        <w:jc w:val="both"/>
      </w:pPr>
      <w:r w:rsidRPr="6BEB91E7">
        <w:rPr>
          <w:rFonts w:asciiTheme="minorHAnsi" w:hAnsiTheme="minorHAnsi" w:cstheme="minorBidi"/>
          <w:sz w:val="24"/>
          <w:szCs w:val="24"/>
          <w:lang w:val="fr"/>
        </w:rPr>
        <w:t xml:space="preserve"> </w:t>
      </w:r>
    </w:p>
    <w:p w14:paraId="531592D2" w14:textId="527D9DDF" w:rsidR="79861EA0" w:rsidRDefault="79861EA0" w:rsidP="6BEB91E7">
      <w:pPr>
        <w:spacing w:after="0"/>
        <w:jc w:val="both"/>
      </w:pPr>
      <w:r w:rsidRPr="6BEB91E7">
        <w:rPr>
          <w:rFonts w:asciiTheme="minorHAnsi" w:hAnsiTheme="minorHAnsi" w:cstheme="minorBidi"/>
          <w:sz w:val="24"/>
          <w:szCs w:val="24"/>
        </w:rPr>
        <w:t xml:space="preserve">Plusieurs renouvellements de contrats de licence expirant en 2025 sont en cours de négociation. </w:t>
      </w:r>
      <w:r w:rsidR="00261F82" w:rsidRPr="6BEB91E7">
        <w:rPr>
          <w:rFonts w:asciiTheme="minorHAnsi" w:hAnsiTheme="minorHAnsi" w:cstheme="minorBidi"/>
          <w:sz w:val="24"/>
          <w:szCs w:val="24"/>
        </w:rPr>
        <w:t>Lexibook espère</w:t>
      </w:r>
      <w:r w:rsidRPr="6BEB91E7">
        <w:rPr>
          <w:rFonts w:asciiTheme="minorHAnsi" w:hAnsiTheme="minorHAnsi" w:cstheme="minorBidi"/>
          <w:sz w:val="24"/>
          <w:szCs w:val="24"/>
        </w:rPr>
        <w:t xml:space="preserve"> pouvoir finaliser ces négociations prochainement. Néanmoins, le Groupe voit l’émergence de nouveaux concurrents sur les territoires où il intervient et tente de consolider ses positions pour asseoir son leadership. Aux USA, Lexibook rencontre une concurrence féroce avec des acteurs puissants et implantés de longue date, ce qui complique l’extension des contrats de licences sur la zone, ralentit la croissance du Groupe, détériore les conditions commerciales avec les </w:t>
      </w:r>
      <w:proofErr w:type="spellStart"/>
      <w:r w:rsidRPr="6BEB91E7">
        <w:rPr>
          <w:rFonts w:asciiTheme="minorHAnsi" w:hAnsiTheme="minorHAnsi" w:cstheme="minorBidi"/>
          <w:sz w:val="24"/>
          <w:szCs w:val="24"/>
        </w:rPr>
        <w:t>licensors</w:t>
      </w:r>
      <w:proofErr w:type="spellEnd"/>
      <w:r w:rsidRPr="6BEB91E7">
        <w:rPr>
          <w:rFonts w:asciiTheme="minorHAnsi" w:hAnsiTheme="minorHAnsi" w:cstheme="minorBidi"/>
          <w:sz w:val="24"/>
          <w:szCs w:val="24"/>
        </w:rPr>
        <w:t xml:space="preserve"> et augmente les risques. Ces acteurs tentent en effet d’étendre leurs contrats sur les zones et segments traditionnels de la société, ce qui rend les négociations plus difficiles.  </w:t>
      </w:r>
    </w:p>
    <w:p w14:paraId="5D409D44" w14:textId="0C029CA2" w:rsidR="6BEB91E7" w:rsidRDefault="6BEB91E7" w:rsidP="6BEB91E7">
      <w:pPr>
        <w:spacing w:after="0"/>
        <w:jc w:val="both"/>
        <w:rPr>
          <w:rFonts w:asciiTheme="minorHAnsi" w:hAnsiTheme="minorHAnsi" w:cstheme="minorBidi"/>
          <w:sz w:val="24"/>
          <w:szCs w:val="24"/>
        </w:rPr>
      </w:pPr>
    </w:p>
    <w:p w14:paraId="67CD1CF1" w14:textId="1A3B6B14" w:rsidR="79861EA0" w:rsidRDefault="79861EA0" w:rsidP="6BEB91E7">
      <w:pPr>
        <w:spacing w:after="0"/>
        <w:jc w:val="both"/>
      </w:pPr>
      <w:r w:rsidRPr="6BEB91E7">
        <w:rPr>
          <w:rFonts w:asciiTheme="minorHAnsi" w:hAnsiTheme="minorHAnsi" w:cstheme="minorBidi"/>
          <w:sz w:val="24"/>
          <w:szCs w:val="24"/>
        </w:rPr>
        <w:t xml:space="preserve">Les niveaux de couverture de change étant inférieurs au cours actuel de l’euro/dollar, le Groupe est exposé à des pertes significatives sur ses couvertures en place. Le maintien ou l’appréciation de l’euro par rapport au dollar entraîne en effet actuellement </w:t>
      </w:r>
      <w:r w:rsidR="00D91268">
        <w:rPr>
          <w:rFonts w:asciiTheme="minorHAnsi" w:hAnsiTheme="minorHAnsi" w:cstheme="minorBidi"/>
          <w:sz w:val="24"/>
          <w:szCs w:val="24"/>
        </w:rPr>
        <w:t xml:space="preserve">un doublement des montants accumulés ainsi que </w:t>
      </w:r>
      <w:r w:rsidRPr="6BEB91E7">
        <w:rPr>
          <w:rFonts w:asciiTheme="minorHAnsi" w:hAnsiTheme="minorHAnsi" w:cstheme="minorBidi"/>
          <w:sz w:val="24"/>
          <w:szCs w:val="24"/>
        </w:rPr>
        <w:t>des pertes de change, impactant le résultat financie</w:t>
      </w:r>
      <w:r w:rsidR="00D91268">
        <w:rPr>
          <w:rFonts w:asciiTheme="minorHAnsi" w:hAnsiTheme="minorHAnsi" w:cstheme="minorBidi"/>
          <w:sz w:val="24"/>
          <w:szCs w:val="24"/>
        </w:rPr>
        <w:t>r. C</w:t>
      </w:r>
      <w:r w:rsidRPr="6BEB91E7">
        <w:rPr>
          <w:rFonts w:asciiTheme="minorHAnsi" w:hAnsiTheme="minorHAnsi" w:cstheme="minorBidi"/>
          <w:sz w:val="24"/>
          <w:szCs w:val="24"/>
        </w:rPr>
        <w:t xml:space="preserve">et effet devrait toutefois être partiellement compensé par l’augmentation </w:t>
      </w:r>
      <w:r w:rsidR="00D91268">
        <w:rPr>
          <w:rFonts w:asciiTheme="minorHAnsi" w:hAnsiTheme="minorHAnsi" w:cstheme="minorBidi"/>
          <w:sz w:val="24"/>
          <w:szCs w:val="24"/>
        </w:rPr>
        <w:t xml:space="preserve">mécaniques </w:t>
      </w:r>
      <w:r w:rsidRPr="6BEB91E7">
        <w:rPr>
          <w:rFonts w:asciiTheme="minorHAnsi" w:hAnsiTheme="minorHAnsi" w:cstheme="minorBidi"/>
          <w:sz w:val="24"/>
          <w:szCs w:val="24"/>
        </w:rPr>
        <w:t xml:space="preserve">des marges commerciales. </w:t>
      </w:r>
    </w:p>
    <w:p w14:paraId="1ABDD018" w14:textId="6FDB3CB0" w:rsidR="79861EA0" w:rsidRDefault="79861EA0" w:rsidP="6BEB91E7">
      <w:pPr>
        <w:spacing w:after="0"/>
        <w:jc w:val="both"/>
      </w:pPr>
      <w:r w:rsidRPr="6BEB91E7">
        <w:rPr>
          <w:rFonts w:asciiTheme="minorHAnsi" w:hAnsiTheme="minorHAnsi" w:cstheme="minorBidi"/>
          <w:sz w:val="24"/>
          <w:szCs w:val="24"/>
          <w:lang w:val="fr"/>
        </w:rPr>
        <w:t xml:space="preserve"> </w:t>
      </w:r>
    </w:p>
    <w:p w14:paraId="7D780EC4" w14:textId="65B36385" w:rsidR="79861EA0" w:rsidRDefault="79861EA0" w:rsidP="6BEB91E7">
      <w:pPr>
        <w:spacing w:after="0"/>
        <w:jc w:val="both"/>
      </w:pPr>
      <w:r w:rsidRPr="6BEB91E7">
        <w:rPr>
          <w:rFonts w:asciiTheme="minorHAnsi" w:hAnsiTheme="minorHAnsi" w:cstheme="minorBidi"/>
          <w:sz w:val="24"/>
          <w:szCs w:val="24"/>
        </w:rPr>
        <w:lastRenderedPageBreak/>
        <w:t xml:space="preserve">De fortes hausses de prix sur le fret international sont attendues pour </w:t>
      </w:r>
      <w:r w:rsidR="68021466" w:rsidRPr="6BEB91E7">
        <w:rPr>
          <w:rFonts w:asciiTheme="minorHAnsi" w:hAnsiTheme="minorHAnsi" w:cstheme="minorBidi"/>
          <w:sz w:val="24"/>
          <w:szCs w:val="24"/>
        </w:rPr>
        <w:t>juin</w:t>
      </w:r>
      <w:r w:rsidRPr="6BEB91E7">
        <w:rPr>
          <w:rFonts w:asciiTheme="minorHAnsi" w:hAnsiTheme="minorHAnsi" w:cstheme="minorBidi"/>
          <w:sz w:val="24"/>
          <w:szCs w:val="24"/>
        </w:rPr>
        <w:t xml:space="preserve"> 2025 et au-delà : plusieurs sources anticipent une forte hausse des prix du fret maritime Chine-Europe dès juin 2025. </w:t>
      </w:r>
      <w:proofErr w:type="spellStart"/>
      <w:r w:rsidRPr="6BEB91E7">
        <w:rPr>
          <w:rFonts w:asciiTheme="minorHAnsi" w:hAnsiTheme="minorHAnsi" w:cstheme="minorBidi"/>
          <w:sz w:val="24"/>
          <w:szCs w:val="24"/>
        </w:rPr>
        <w:t>Marglory</w:t>
      </w:r>
      <w:proofErr w:type="spellEnd"/>
      <w:r w:rsidRPr="6BEB91E7">
        <w:rPr>
          <w:rFonts w:asciiTheme="minorHAnsi" w:hAnsiTheme="minorHAnsi" w:cstheme="minorBidi"/>
          <w:sz w:val="24"/>
          <w:szCs w:val="24"/>
        </w:rPr>
        <w:t xml:space="preserve"> estime que les taux spot vers l'Europe </w:t>
      </w:r>
      <w:r w:rsidR="00B63124">
        <w:rPr>
          <w:rFonts w:asciiTheme="minorHAnsi" w:hAnsiTheme="minorHAnsi" w:cstheme="minorBidi"/>
          <w:sz w:val="24"/>
          <w:szCs w:val="24"/>
        </w:rPr>
        <w:t>ou les USA</w:t>
      </w:r>
      <w:r w:rsidR="00120413">
        <w:rPr>
          <w:rFonts w:asciiTheme="minorHAnsi" w:hAnsiTheme="minorHAnsi" w:cstheme="minorBidi"/>
          <w:sz w:val="24"/>
          <w:szCs w:val="24"/>
        </w:rPr>
        <w:t xml:space="preserve"> </w:t>
      </w:r>
      <w:r w:rsidR="0000007F">
        <w:rPr>
          <w:rFonts w:asciiTheme="minorHAnsi" w:hAnsiTheme="minorHAnsi" w:cstheme="minorBidi"/>
          <w:sz w:val="24"/>
          <w:szCs w:val="24"/>
        </w:rPr>
        <w:t xml:space="preserve">ont augmenté </w:t>
      </w:r>
      <w:r w:rsidR="005C4C06">
        <w:rPr>
          <w:rFonts w:asciiTheme="minorHAnsi" w:hAnsiTheme="minorHAnsi" w:cstheme="minorBidi"/>
          <w:sz w:val="24"/>
          <w:szCs w:val="24"/>
        </w:rPr>
        <w:t>respectivement</w:t>
      </w:r>
      <w:r w:rsidR="0000007F">
        <w:rPr>
          <w:rFonts w:asciiTheme="minorHAnsi" w:hAnsiTheme="minorHAnsi" w:cstheme="minorBidi"/>
          <w:sz w:val="24"/>
          <w:szCs w:val="24"/>
        </w:rPr>
        <w:t xml:space="preserve"> de</w:t>
      </w:r>
      <w:r w:rsidR="005C4C06">
        <w:rPr>
          <w:rFonts w:asciiTheme="minorHAnsi" w:hAnsiTheme="minorHAnsi" w:cstheme="minorBidi"/>
          <w:sz w:val="24"/>
          <w:szCs w:val="24"/>
        </w:rPr>
        <w:t xml:space="preserve"> 90% et</w:t>
      </w:r>
      <w:r w:rsidRPr="6BEB91E7">
        <w:rPr>
          <w:rFonts w:asciiTheme="minorHAnsi" w:hAnsiTheme="minorHAnsi" w:cstheme="minorBidi"/>
          <w:sz w:val="24"/>
          <w:szCs w:val="24"/>
        </w:rPr>
        <w:t xml:space="preserve"> de </w:t>
      </w:r>
      <w:r w:rsidR="005C4C06">
        <w:rPr>
          <w:rFonts w:asciiTheme="minorHAnsi" w:hAnsiTheme="minorHAnsi" w:cstheme="minorBidi"/>
          <w:sz w:val="24"/>
          <w:szCs w:val="24"/>
        </w:rPr>
        <w:t>6</w:t>
      </w:r>
      <w:r w:rsidRPr="6BEB91E7">
        <w:rPr>
          <w:rFonts w:asciiTheme="minorHAnsi" w:hAnsiTheme="minorHAnsi" w:cstheme="minorBidi"/>
          <w:sz w:val="24"/>
          <w:szCs w:val="24"/>
        </w:rPr>
        <w:t xml:space="preserve">0 % en juin 2025 par rapport à juin 2024. </w:t>
      </w:r>
    </w:p>
    <w:p w14:paraId="23B60D00" w14:textId="3737175B" w:rsidR="79861EA0" w:rsidRDefault="79861EA0" w:rsidP="6BEB91E7">
      <w:pPr>
        <w:spacing w:after="0"/>
        <w:jc w:val="both"/>
      </w:pPr>
      <w:r w:rsidRPr="6BEB91E7">
        <w:rPr>
          <w:rFonts w:asciiTheme="minorHAnsi" w:hAnsiTheme="minorHAnsi" w:cstheme="minorBidi"/>
          <w:sz w:val="24"/>
          <w:szCs w:val="24"/>
          <w:lang w:val="fr"/>
        </w:rPr>
        <w:t xml:space="preserve"> </w:t>
      </w:r>
    </w:p>
    <w:p w14:paraId="3F1FADEC" w14:textId="302E181E" w:rsidR="79861EA0" w:rsidRDefault="79861EA0" w:rsidP="6BEB91E7">
      <w:pPr>
        <w:spacing w:after="0"/>
        <w:jc w:val="both"/>
      </w:pPr>
      <w:r w:rsidRPr="6BEB91E7">
        <w:rPr>
          <w:rFonts w:asciiTheme="minorHAnsi" w:hAnsiTheme="minorHAnsi" w:cstheme="minorBidi"/>
          <w:sz w:val="24"/>
          <w:szCs w:val="24"/>
          <w:lang w:val="fr"/>
        </w:rPr>
        <w:t>Ceci impacte les délais de livraisons et les coûts de revient sur les produits du Groupe et pourrait affecter les marges du Groupe si elles se maintenaient au niveau actuel ou se dégradaient à nouveau.</w:t>
      </w:r>
    </w:p>
    <w:p w14:paraId="3182C91C" w14:textId="1312E9B9" w:rsidR="00B70FB5" w:rsidRDefault="00B70FB5" w:rsidP="3A868EA2">
      <w:pPr>
        <w:spacing w:after="0"/>
        <w:jc w:val="both"/>
        <w:rPr>
          <w:rFonts w:asciiTheme="minorHAnsi" w:hAnsiTheme="minorHAnsi" w:cstheme="minorBidi"/>
          <w:sz w:val="24"/>
          <w:szCs w:val="24"/>
        </w:rPr>
      </w:pPr>
    </w:p>
    <w:p w14:paraId="5A864F81" w14:textId="77777777" w:rsidR="00B70FB5" w:rsidRDefault="00B70FB5" w:rsidP="0C1039A8">
      <w:pPr>
        <w:spacing w:after="0" w:line="240" w:lineRule="auto"/>
        <w:rPr>
          <w:rFonts w:asciiTheme="minorHAnsi" w:hAnsiTheme="minorHAnsi" w:cstheme="minorBidi"/>
          <w:b/>
          <w:bCs/>
          <w:sz w:val="24"/>
          <w:szCs w:val="24"/>
        </w:rPr>
      </w:pPr>
    </w:p>
    <w:p w14:paraId="6D72E57C" w14:textId="77777777" w:rsidR="00B70FB5" w:rsidRDefault="00B70FB5" w:rsidP="0C1039A8">
      <w:pPr>
        <w:spacing w:after="0" w:line="240" w:lineRule="auto"/>
        <w:rPr>
          <w:rFonts w:asciiTheme="minorHAnsi" w:hAnsiTheme="minorHAnsi" w:cstheme="minorBidi"/>
          <w:b/>
          <w:bCs/>
          <w:sz w:val="24"/>
          <w:szCs w:val="24"/>
        </w:rPr>
      </w:pPr>
    </w:p>
    <w:p w14:paraId="5D74BA3F" w14:textId="79F94E47" w:rsidR="00E033F5" w:rsidRPr="007E1F95" w:rsidRDefault="0710C334" w:rsidP="6BEB91E7">
      <w:pPr>
        <w:autoSpaceDE w:val="0"/>
        <w:autoSpaceDN w:val="0"/>
        <w:adjustRightInd w:val="0"/>
        <w:spacing w:line="240" w:lineRule="atLeast"/>
        <w:jc w:val="both"/>
        <w:rPr>
          <w:rFonts w:asciiTheme="minorHAnsi" w:hAnsiTheme="minorHAnsi" w:cstheme="minorBidi"/>
          <w:b/>
          <w:bCs/>
          <w:color w:val="0254A5"/>
          <w:sz w:val="24"/>
          <w:szCs w:val="24"/>
        </w:rPr>
      </w:pPr>
      <w:r w:rsidRPr="6BEB91E7">
        <w:rPr>
          <w:rFonts w:asciiTheme="minorHAnsi" w:hAnsiTheme="minorHAnsi" w:cstheme="minorBidi"/>
          <w:b/>
          <w:bCs/>
          <w:color w:val="0254A5"/>
          <w:sz w:val="24"/>
          <w:szCs w:val="24"/>
        </w:rPr>
        <w:t xml:space="preserve">Calendrier financier </w:t>
      </w:r>
      <w:r w:rsidR="22E5414E" w:rsidRPr="6BEB91E7">
        <w:rPr>
          <w:rFonts w:asciiTheme="minorHAnsi" w:hAnsiTheme="minorHAnsi" w:cstheme="minorBidi"/>
          <w:b/>
          <w:bCs/>
          <w:color w:val="0254A5"/>
          <w:sz w:val="24"/>
          <w:szCs w:val="24"/>
        </w:rPr>
        <w:t>20</w:t>
      </w:r>
      <w:r w:rsidR="77AE2EBF" w:rsidRPr="6BEB91E7">
        <w:rPr>
          <w:rFonts w:asciiTheme="minorHAnsi" w:hAnsiTheme="minorHAnsi" w:cstheme="minorBidi"/>
          <w:b/>
          <w:bCs/>
          <w:color w:val="0254A5"/>
          <w:sz w:val="24"/>
          <w:szCs w:val="24"/>
        </w:rPr>
        <w:t>2</w:t>
      </w:r>
      <w:r w:rsidR="110E3871" w:rsidRPr="6BEB91E7">
        <w:rPr>
          <w:rFonts w:asciiTheme="minorHAnsi" w:hAnsiTheme="minorHAnsi" w:cstheme="minorBidi"/>
          <w:b/>
          <w:bCs/>
          <w:color w:val="0254A5"/>
          <w:sz w:val="24"/>
          <w:szCs w:val="24"/>
        </w:rPr>
        <w:t>4</w:t>
      </w:r>
      <w:r w:rsidR="22E5414E" w:rsidRPr="6BEB91E7">
        <w:rPr>
          <w:rFonts w:asciiTheme="minorHAnsi" w:hAnsiTheme="minorHAnsi" w:cstheme="minorBidi"/>
          <w:b/>
          <w:bCs/>
          <w:color w:val="0254A5"/>
          <w:sz w:val="24"/>
          <w:szCs w:val="24"/>
        </w:rPr>
        <w:t>/20</w:t>
      </w:r>
      <w:r w:rsidR="4CE4D5C2" w:rsidRPr="6BEB91E7">
        <w:rPr>
          <w:rFonts w:asciiTheme="minorHAnsi" w:hAnsiTheme="minorHAnsi" w:cstheme="minorBidi"/>
          <w:b/>
          <w:bCs/>
          <w:color w:val="0254A5"/>
          <w:sz w:val="24"/>
          <w:szCs w:val="24"/>
        </w:rPr>
        <w:t>2</w:t>
      </w:r>
      <w:r w:rsidR="0A409A51" w:rsidRPr="6BEB91E7">
        <w:rPr>
          <w:rFonts w:asciiTheme="minorHAnsi" w:hAnsiTheme="minorHAnsi" w:cstheme="minorBidi"/>
          <w:b/>
          <w:bCs/>
          <w:color w:val="0254A5"/>
          <w:sz w:val="24"/>
          <w:szCs w:val="24"/>
        </w:rPr>
        <w:t>5</w:t>
      </w:r>
    </w:p>
    <w:p w14:paraId="6219DC33" w14:textId="72D0D87F" w:rsidR="00313379" w:rsidRPr="00095F64" w:rsidRDefault="256EFCA2" w:rsidP="6BEB91E7">
      <w:pPr>
        <w:spacing w:after="0"/>
        <w:jc w:val="both"/>
        <w:rPr>
          <w:rFonts w:asciiTheme="minorHAnsi" w:hAnsiTheme="minorHAnsi" w:cstheme="minorBidi"/>
          <w:sz w:val="24"/>
          <w:szCs w:val="24"/>
        </w:rPr>
      </w:pPr>
      <w:r w:rsidRPr="6BEB91E7">
        <w:rPr>
          <w:rFonts w:asciiTheme="minorHAnsi" w:hAnsiTheme="minorHAnsi" w:cstheme="minorBidi"/>
          <w:sz w:val="24"/>
          <w:szCs w:val="24"/>
        </w:rPr>
        <w:t>Mise à dispo</w:t>
      </w:r>
      <w:r w:rsidR="1BBE0B9D" w:rsidRPr="6BEB91E7">
        <w:rPr>
          <w:rFonts w:asciiTheme="minorHAnsi" w:hAnsiTheme="minorHAnsi" w:cstheme="minorBidi"/>
          <w:sz w:val="24"/>
          <w:szCs w:val="24"/>
        </w:rPr>
        <w:t>s</w:t>
      </w:r>
      <w:r w:rsidRPr="6BEB91E7">
        <w:rPr>
          <w:rFonts w:asciiTheme="minorHAnsi" w:hAnsiTheme="minorHAnsi" w:cstheme="minorBidi"/>
          <w:sz w:val="24"/>
          <w:szCs w:val="24"/>
        </w:rPr>
        <w:t>ition du Document d’</w:t>
      </w:r>
      <w:r w:rsidR="1BBE0B9D" w:rsidRPr="6BEB91E7">
        <w:rPr>
          <w:rFonts w:asciiTheme="minorHAnsi" w:hAnsiTheme="minorHAnsi" w:cstheme="minorBidi"/>
          <w:sz w:val="24"/>
          <w:szCs w:val="24"/>
        </w:rPr>
        <w:t>Enregistrement Universel</w:t>
      </w:r>
      <w:r w:rsidR="70680823" w:rsidRPr="6BEB91E7">
        <w:rPr>
          <w:rFonts w:asciiTheme="minorHAnsi" w:hAnsiTheme="minorHAnsi" w:cstheme="minorBidi"/>
          <w:sz w:val="24"/>
          <w:szCs w:val="24"/>
        </w:rPr>
        <w:t xml:space="preserve"> au 31 Mars 202</w:t>
      </w:r>
      <w:r w:rsidR="33E1583E" w:rsidRPr="6BEB91E7">
        <w:rPr>
          <w:rFonts w:asciiTheme="minorHAnsi" w:hAnsiTheme="minorHAnsi" w:cstheme="minorBidi"/>
          <w:sz w:val="24"/>
          <w:szCs w:val="24"/>
        </w:rPr>
        <w:t>5</w:t>
      </w:r>
      <w:r w:rsidR="6FC25D51" w:rsidRPr="6BEB91E7">
        <w:rPr>
          <w:rFonts w:asciiTheme="minorHAnsi" w:hAnsiTheme="minorHAnsi" w:cstheme="minorBidi"/>
          <w:sz w:val="24"/>
          <w:szCs w:val="24"/>
        </w:rPr>
        <w:t xml:space="preserve"> : </w:t>
      </w:r>
      <w:r w:rsidR="0F8ED10D" w:rsidRPr="6BEB91E7">
        <w:rPr>
          <w:rFonts w:asciiTheme="minorHAnsi" w:hAnsiTheme="minorHAnsi" w:cstheme="minorBidi"/>
          <w:sz w:val="24"/>
          <w:szCs w:val="24"/>
        </w:rPr>
        <w:t xml:space="preserve">le </w:t>
      </w:r>
      <w:r w:rsidR="75C3FC10" w:rsidRPr="6BEB91E7">
        <w:rPr>
          <w:rFonts w:asciiTheme="minorHAnsi" w:hAnsiTheme="minorHAnsi" w:cstheme="minorBidi"/>
          <w:sz w:val="24"/>
          <w:szCs w:val="24"/>
        </w:rPr>
        <w:t xml:space="preserve">17 juin </w:t>
      </w:r>
      <w:r w:rsidR="1BBE0B9D" w:rsidRPr="6BEB91E7">
        <w:rPr>
          <w:rFonts w:asciiTheme="minorHAnsi" w:hAnsiTheme="minorHAnsi" w:cstheme="minorBidi"/>
          <w:sz w:val="24"/>
          <w:szCs w:val="24"/>
        </w:rPr>
        <w:t>202</w:t>
      </w:r>
      <w:r w:rsidR="241CA2A1" w:rsidRPr="6BEB91E7">
        <w:rPr>
          <w:rFonts w:asciiTheme="minorHAnsi" w:hAnsiTheme="minorHAnsi" w:cstheme="minorBidi"/>
          <w:sz w:val="24"/>
          <w:szCs w:val="24"/>
        </w:rPr>
        <w:t>5</w:t>
      </w:r>
    </w:p>
    <w:p w14:paraId="105128DA" w14:textId="43BB89D5" w:rsidR="0082252D" w:rsidRDefault="0082252D" w:rsidP="00F11672">
      <w:pPr>
        <w:spacing w:after="0" w:line="240" w:lineRule="auto"/>
        <w:ind w:left="720"/>
        <w:jc w:val="both"/>
        <w:outlineLvl w:val="0"/>
        <w:rPr>
          <w:rFonts w:asciiTheme="minorHAnsi" w:hAnsiTheme="minorHAnsi" w:cstheme="minorHAnsi"/>
        </w:rPr>
      </w:pPr>
    </w:p>
    <w:p w14:paraId="3057AD0E" w14:textId="77777777" w:rsidR="00095F64" w:rsidRPr="00095F64" w:rsidRDefault="00095F64" w:rsidP="00F11672">
      <w:pPr>
        <w:spacing w:after="0" w:line="240" w:lineRule="auto"/>
        <w:ind w:left="720"/>
        <w:jc w:val="both"/>
        <w:outlineLvl w:val="0"/>
        <w:rPr>
          <w:rFonts w:asciiTheme="minorHAnsi" w:hAnsiTheme="minorHAnsi" w:cstheme="minorHAnsi"/>
        </w:rPr>
      </w:pPr>
    </w:p>
    <w:p w14:paraId="2C32207E" w14:textId="59E3A913" w:rsidR="002F49BA" w:rsidRPr="007E1F95" w:rsidRDefault="78078AC2" w:rsidP="6BEB91E7">
      <w:pPr>
        <w:autoSpaceDE w:val="0"/>
        <w:autoSpaceDN w:val="0"/>
        <w:adjustRightInd w:val="0"/>
        <w:spacing w:line="240" w:lineRule="atLeast"/>
        <w:jc w:val="both"/>
        <w:rPr>
          <w:rFonts w:asciiTheme="minorHAnsi" w:hAnsiTheme="minorHAnsi" w:cstheme="minorBidi"/>
          <w:b/>
          <w:bCs/>
          <w:color w:val="0254A5"/>
          <w:sz w:val="24"/>
          <w:szCs w:val="24"/>
        </w:rPr>
      </w:pPr>
      <w:r w:rsidRPr="08A4B5F2">
        <w:rPr>
          <w:rFonts w:asciiTheme="minorHAnsi" w:hAnsiTheme="minorHAnsi" w:cstheme="minorBidi"/>
          <w:b/>
          <w:bCs/>
          <w:color w:val="0254A5"/>
          <w:sz w:val="24"/>
          <w:szCs w:val="24"/>
        </w:rPr>
        <w:t>Calendrier financier 202</w:t>
      </w:r>
      <w:r w:rsidR="35D3D84A" w:rsidRPr="08A4B5F2">
        <w:rPr>
          <w:rFonts w:asciiTheme="minorHAnsi" w:hAnsiTheme="minorHAnsi" w:cstheme="minorBidi"/>
          <w:b/>
          <w:bCs/>
          <w:color w:val="0254A5"/>
          <w:sz w:val="24"/>
          <w:szCs w:val="24"/>
        </w:rPr>
        <w:t>5</w:t>
      </w:r>
      <w:r w:rsidRPr="08A4B5F2">
        <w:rPr>
          <w:rFonts w:asciiTheme="minorHAnsi" w:hAnsiTheme="minorHAnsi" w:cstheme="minorBidi"/>
          <w:b/>
          <w:bCs/>
          <w:color w:val="0254A5"/>
          <w:sz w:val="24"/>
          <w:szCs w:val="24"/>
        </w:rPr>
        <w:t>/202</w:t>
      </w:r>
      <w:r w:rsidR="6841B4FF" w:rsidRPr="08A4B5F2">
        <w:rPr>
          <w:rFonts w:asciiTheme="minorHAnsi" w:hAnsiTheme="minorHAnsi" w:cstheme="minorBidi"/>
          <w:b/>
          <w:bCs/>
          <w:color w:val="0254A5"/>
          <w:sz w:val="24"/>
          <w:szCs w:val="24"/>
        </w:rPr>
        <w:t>6</w:t>
      </w:r>
    </w:p>
    <w:p w14:paraId="64E51F80" w14:textId="2367ABA5" w:rsidR="002F49BA" w:rsidRPr="00AE3FD9" w:rsidRDefault="78078AC2" w:rsidP="08A4B5F2">
      <w:pPr>
        <w:numPr>
          <w:ilvl w:val="0"/>
          <w:numId w:val="17"/>
        </w:numPr>
        <w:spacing w:after="0" w:line="240" w:lineRule="auto"/>
        <w:jc w:val="both"/>
        <w:outlineLvl w:val="0"/>
        <w:rPr>
          <w:rFonts w:asciiTheme="minorHAnsi" w:hAnsiTheme="minorHAnsi" w:cstheme="minorBidi"/>
          <w:sz w:val="24"/>
          <w:szCs w:val="24"/>
        </w:rPr>
      </w:pPr>
      <w:r w:rsidRPr="08A4B5F2">
        <w:rPr>
          <w:rFonts w:asciiTheme="minorHAnsi" w:hAnsiTheme="minorHAnsi" w:cstheme="minorBidi"/>
          <w:sz w:val="24"/>
          <w:szCs w:val="24"/>
        </w:rPr>
        <w:t>Résultats semestriels au 30 septembre 202</w:t>
      </w:r>
      <w:r w:rsidR="3E9BA74D" w:rsidRPr="08A4B5F2">
        <w:rPr>
          <w:rFonts w:asciiTheme="minorHAnsi" w:hAnsiTheme="minorHAnsi" w:cstheme="minorBidi"/>
          <w:sz w:val="24"/>
          <w:szCs w:val="24"/>
        </w:rPr>
        <w:t>5</w:t>
      </w:r>
      <w:r w:rsidRPr="08A4B5F2">
        <w:rPr>
          <w:rFonts w:asciiTheme="minorHAnsi" w:hAnsiTheme="minorHAnsi" w:cstheme="minorBidi"/>
          <w:sz w:val="24"/>
          <w:szCs w:val="24"/>
        </w:rPr>
        <w:t> : le 30 novembre 202</w:t>
      </w:r>
      <w:r w:rsidR="3EB712A7" w:rsidRPr="08A4B5F2">
        <w:rPr>
          <w:rFonts w:asciiTheme="minorHAnsi" w:hAnsiTheme="minorHAnsi" w:cstheme="minorBidi"/>
          <w:sz w:val="24"/>
          <w:szCs w:val="24"/>
        </w:rPr>
        <w:t>5</w:t>
      </w:r>
    </w:p>
    <w:p w14:paraId="788C42EF" w14:textId="6D015D4D" w:rsidR="002F49BA" w:rsidRPr="00AE3FD9" w:rsidRDefault="78078AC2" w:rsidP="08A4B5F2">
      <w:pPr>
        <w:numPr>
          <w:ilvl w:val="0"/>
          <w:numId w:val="17"/>
        </w:numPr>
        <w:spacing w:after="0" w:line="240" w:lineRule="auto"/>
        <w:jc w:val="both"/>
        <w:outlineLvl w:val="0"/>
        <w:rPr>
          <w:rFonts w:asciiTheme="minorHAnsi" w:hAnsiTheme="minorHAnsi" w:cstheme="minorBidi"/>
          <w:sz w:val="24"/>
          <w:szCs w:val="24"/>
        </w:rPr>
      </w:pPr>
      <w:r w:rsidRPr="08A4B5F2">
        <w:rPr>
          <w:rFonts w:asciiTheme="minorHAnsi" w:hAnsiTheme="minorHAnsi" w:cstheme="minorBidi"/>
          <w:sz w:val="24"/>
          <w:szCs w:val="24"/>
        </w:rPr>
        <w:t>Résultats annuels au 31 mars 202</w:t>
      </w:r>
      <w:r w:rsidR="271B7735" w:rsidRPr="08A4B5F2">
        <w:rPr>
          <w:rFonts w:asciiTheme="minorHAnsi" w:hAnsiTheme="minorHAnsi" w:cstheme="minorBidi"/>
          <w:sz w:val="24"/>
          <w:szCs w:val="24"/>
        </w:rPr>
        <w:t>6</w:t>
      </w:r>
      <w:r w:rsidRPr="08A4B5F2">
        <w:rPr>
          <w:rFonts w:asciiTheme="minorHAnsi" w:hAnsiTheme="minorHAnsi" w:cstheme="minorBidi"/>
          <w:sz w:val="24"/>
          <w:szCs w:val="24"/>
        </w:rPr>
        <w:t xml:space="preserve"> : le </w:t>
      </w:r>
      <w:r w:rsidR="1658A73A" w:rsidRPr="08A4B5F2">
        <w:rPr>
          <w:rFonts w:asciiTheme="minorHAnsi" w:hAnsiTheme="minorHAnsi" w:cstheme="minorBidi"/>
          <w:sz w:val="24"/>
          <w:szCs w:val="24"/>
        </w:rPr>
        <w:t>28</w:t>
      </w:r>
      <w:r w:rsidRPr="08A4B5F2">
        <w:rPr>
          <w:rFonts w:asciiTheme="minorHAnsi" w:hAnsiTheme="minorHAnsi" w:cstheme="minorBidi"/>
          <w:sz w:val="24"/>
          <w:szCs w:val="24"/>
        </w:rPr>
        <w:t xml:space="preserve"> juin 202</w:t>
      </w:r>
      <w:r w:rsidR="3BAF1E68" w:rsidRPr="08A4B5F2">
        <w:rPr>
          <w:rFonts w:asciiTheme="minorHAnsi" w:hAnsiTheme="minorHAnsi" w:cstheme="minorBidi"/>
          <w:sz w:val="24"/>
          <w:szCs w:val="24"/>
        </w:rPr>
        <w:t>6</w:t>
      </w:r>
    </w:p>
    <w:p w14:paraId="1F2284AD" w14:textId="7E43059A" w:rsidR="002F49BA" w:rsidRPr="00AE3FD9" w:rsidRDefault="78078AC2" w:rsidP="08A4B5F2">
      <w:pPr>
        <w:pStyle w:val="Paragraphedeliste"/>
        <w:numPr>
          <w:ilvl w:val="0"/>
          <w:numId w:val="17"/>
        </w:numPr>
        <w:spacing w:after="0" w:line="240" w:lineRule="auto"/>
        <w:jc w:val="both"/>
        <w:outlineLvl w:val="0"/>
        <w:rPr>
          <w:rFonts w:asciiTheme="minorHAnsi" w:hAnsiTheme="minorHAnsi" w:cstheme="minorBidi"/>
          <w:sz w:val="24"/>
          <w:szCs w:val="24"/>
        </w:rPr>
      </w:pPr>
      <w:r w:rsidRPr="08A4B5F2">
        <w:rPr>
          <w:rFonts w:asciiTheme="minorHAnsi" w:hAnsiTheme="minorHAnsi" w:cstheme="minorBidi"/>
          <w:sz w:val="24"/>
          <w:szCs w:val="24"/>
        </w:rPr>
        <w:t>Mise à disposition du Document d’Enregistrement Universel au 31 Mars 202</w:t>
      </w:r>
      <w:r w:rsidR="22F9279D" w:rsidRPr="08A4B5F2">
        <w:rPr>
          <w:rFonts w:asciiTheme="minorHAnsi" w:hAnsiTheme="minorHAnsi" w:cstheme="minorBidi"/>
          <w:sz w:val="24"/>
          <w:szCs w:val="24"/>
        </w:rPr>
        <w:t>6</w:t>
      </w:r>
      <w:r w:rsidRPr="08A4B5F2">
        <w:rPr>
          <w:rFonts w:asciiTheme="minorHAnsi" w:hAnsiTheme="minorHAnsi" w:cstheme="minorBidi"/>
          <w:sz w:val="24"/>
          <w:szCs w:val="24"/>
        </w:rPr>
        <w:t xml:space="preserve"> : le </w:t>
      </w:r>
      <w:r w:rsidR="1658A73A" w:rsidRPr="08A4B5F2">
        <w:rPr>
          <w:rFonts w:asciiTheme="minorHAnsi" w:hAnsiTheme="minorHAnsi" w:cstheme="minorBidi"/>
          <w:sz w:val="24"/>
          <w:szCs w:val="24"/>
        </w:rPr>
        <w:t>28</w:t>
      </w:r>
      <w:r w:rsidRPr="08A4B5F2">
        <w:rPr>
          <w:rFonts w:asciiTheme="minorHAnsi" w:hAnsiTheme="minorHAnsi" w:cstheme="minorBidi"/>
          <w:sz w:val="24"/>
          <w:szCs w:val="24"/>
        </w:rPr>
        <w:t xml:space="preserve"> juin 202</w:t>
      </w:r>
      <w:r w:rsidR="6A7EBE0E" w:rsidRPr="08A4B5F2">
        <w:rPr>
          <w:rFonts w:asciiTheme="minorHAnsi" w:hAnsiTheme="minorHAnsi" w:cstheme="minorBidi"/>
          <w:sz w:val="24"/>
          <w:szCs w:val="24"/>
        </w:rPr>
        <w:t>6</w:t>
      </w:r>
    </w:p>
    <w:p w14:paraId="4AC17554" w14:textId="77777777" w:rsidR="00575A5B" w:rsidRDefault="00575A5B" w:rsidP="007E1F95">
      <w:pPr>
        <w:spacing w:after="0" w:line="240" w:lineRule="auto"/>
        <w:jc w:val="both"/>
        <w:outlineLvl w:val="0"/>
        <w:rPr>
          <w:rFonts w:asciiTheme="minorHAnsi" w:hAnsiTheme="minorHAnsi" w:cstheme="minorHAnsi"/>
          <w:highlight w:val="yellow"/>
        </w:rPr>
      </w:pPr>
    </w:p>
    <w:p w14:paraId="0A025BFD" w14:textId="77777777" w:rsidR="00095F64" w:rsidRPr="00095F64" w:rsidRDefault="00095F64" w:rsidP="005F3830">
      <w:pPr>
        <w:spacing w:after="0" w:line="240" w:lineRule="auto"/>
        <w:ind w:left="720"/>
        <w:jc w:val="both"/>
        <w:outlineLvl w:val="0"/>
        <w:rPr>
          <w:rFonts w:asciiTheme="minorHAnsi" w:hAnsiTheme="minorHAnsi" w:cstheme="minorHAnsi"/>
          <w:highlight w:val="yellow"/>
        </w:rPr>
      </w:pPr>
    </w:p>
    <w:p w14:paraId="419005E7" w14:textId="77777777" w:rsidR="007E1F95" w:rsidRPr="00D8795B" w:rsidRDefault="007E1F95" w:rsidP="007E1F95">
      <w:pPr>
        <w:autoSpaceDE w:val="0"/>
        <w:autoSpaceDN w:val="0"/>
        <w:adjustRightInd w:val="0"/>
        <w:spacing w:line="240" w:lineRule="atLeast"/>
        <w:jc w:val="both"/>
        <w:rPr>
          <w:rFonts w:asciiTheme="minorHAnsi" w:hAnsiTheme="minorHAnsi" w:cstheme="minorHAnsi"/>
          <w:b/>
          <w:color w:val="0254A5"/>
          <w:sz w:val="24"/>
          <w:szCs w:val="24"/>
        </w:rPr>
      </w:pPr>
      <w:r>
        <w:rPr>
          <w:rFonts w:asciiTheme="minorHAnsi" w:hAnsiTheme="minorHAnsi" w:cstheme="minorHAnsi"/>
          <w:b/>
          <w:color w:val="0254A5"/>
          <w:sz w:val="24"/>
          <w:szCs w:val="24"/>
        </w:rPr>
        <w:t xml:space="preserve">A PROPOS DE </w:t>
      </w:r>
      <w:hyperlink r:id="rId12" w:history="1">
        <w:r w:rsidRPr="00587EC5">
          <w:rPr>
            <w:rStyle w:val="Lienhypertexte"/>
            <w:rFonts w:asciiTheme="minorHAnsi" w:hAnsiTheme="minorHAnsi" w:cstheme="minorHAnsi"/>
            <w:b/>
            <w:sz w:val="24"/>
            <w:szCs w:val="24"/>
          </w:rPr>
          <w:t>LEXIBOOK</w:t>
        </w:r>
      </w:hyperlink>
    </w:p>
    <w:p w14:paraId="4D3F3580" w14:textId="058A3129" w:rsidR="007E1F95" w:rsidRPr="0043036F" w:rsidRDefault="007E1F95" w:rsidP="3A868EA2">
      <w:pPr>
        <w:spacing w:after="0" w:line="240" w:lineRule="auto"/>
        <w:jc w:val="both"/>
        <w:outlineLvl w:val="0"/>
        <w:rPr>
          <w:rFonts w:asciiTheme="minorHAnsi" w:hAnsiTheme="minorHAnsi" w:cstheme="minorBidi"/>
          <w:sz w:val="24"/>
          <w:szCs w:val="24"/>
          <w:lang w:val="en-US"/>
        </w:rPr>
      </w:pPr>
      <w:r w:rsidRPr="3A868EA2">
        <w:rPr>
          <w:rFonts w:asciiTheme="minorHAnsi" w:hAnsiTheme="minorHAnsi" w:cstheme="minorBidi"/>
          <w:sz w:val="24"/>
          <w:szCs w:val="24"/>
        </w:rPr>
        <w:t xml:space="preserve">LEXIBOOK®, propriétaire de plus de 40 marques enregistrées est le leader des produits de loisirs électroniques intelligents pour les enfants. Ce succès est fondé sur une stratégie éprouvée consistant à marier des licences internationales fortes à des produits électroniques grand public à haute valeur ajoutée. Cette stratégie, complétée par une politique d'innovation constante, permet au groupe de s'épanouir à l'international et de développer en permanence de nouvelles gammes de produits sous les marques du Groupe. Avec plus de 35 millions de produits sur le marché, l'entreprise vend désormais un produit toutes les 10 secondes dans le monde entier ! Le capital social de LEXIBOOK est composé de 7 763 319 actions cotées sur le marché Euronext Growth à Paris. </w:t>
      </w:r>
      <w:r w:rsidR="00C2770E" w:rsidRPr="3A868EA2">
        <w:rPr>
          <w:rFonts w:asciiTheme="minorHAnsi" w:hAnsiTheme="minorHAnsi" w:cstheme="minorBidi"/>
          <w:sz w:val="24"/>
          <w:szCs w:val="24"/>
          <w:lang w:val="en-US"/>
        </w:rPr>
        <w:t>ISIN:</w:t>
      </w:r>
      <w:r w:rsidRPr="3A868EA2">
        <w:rPr>
          <w:rFonts w:asciiTheme="minorHAnsi" w:hAnsiTheme="minorHAnsi" w:cstheme="minorBidi"/>
          <w:sz w:val="24"/>
          <w:szCs w:val="24"/>
          <w:lang w:val="en-US"/>
        </w:rPr>
        <w:t xml:space="preserve"> FR0000033599 – </w:t>
      </w:r>
      <w:r w:rsidR="009C3C68" w:rsidRPr="3A868EA2">
        <w:rPr>
          <w:rFonts w:asciiTheme="minorHAnsi" w:hAnsiTheme="minorHAnsi" w:cstheme="minorBidi"/>
          <w:sz w:val="24"/>
          <w:szCs w:val="24"/>
          <w:lang w:val="en-US"/>
        </w:rPr>
        <w:t>ALLEX;</w:t>
      </w:r>
      <w:r w:rsidRPr="3A868EA2">
        <w:rPr>
          <w:rFonts w:asciiTheme="minorHAnsi" w:hAnsiTheme="minorHAnsi" w:cstheme="minorBidi"/>
          <w:sz w:val="24"/>
          <w:szCs w:val="24"/>
          <w:lang w:val="en-US"/>
        </w:rPr>
        <w:t xml:space="preserve"> </w:t>
      </w:r>
      <w:r w:rsidR="00B9407F" w:rsidRPr="3A868EA2">
        <w:rPr>
          <w:rFonts w:asciiTheme="minorHAnsi" w:hAnsiTheme="minorHAnsi" w:cstheme="minorBidi"/>
          <w:sz w:val="24"/>
          <w:szCs w:val="24"/>
          <w:lang w:val="en-US"/>
        </w:rPr>
        <w:t>ICB:</w:t>
      </w:r>
      <w:r w:rsidRPr="3A868EA2">
        <w:rPr>
          <w:rFonts w:asciiTheme="minorHAnsi" w:hAnsiTheme="minorHAnsi" w:cstheme="minorBidi"/>
          <w:sz w:val="24"/>
          <w:szCs w:val="24"/>
          <w:lang w:val="en-US"/>
        </w:rPr>
        <w:t xml:space="preserve"> 3743 – Consumer electronics.</w:t>
      </w:r>
    </w:p>
    <w:p w14:paraId="42D5C819" w14:textId="77777777" w:rsidR="0012086F" w:rsidRDefault="0012086F" w:rsidP="0012086F">
      <w:pPr>
        <w:spacing w:after="0" w:line="240" w:lineRule="auto"/>
        <w:jc w:val="both"/>
        <w:outlineLvl w:val="0"/>
        <w:rPr>
          <w:rFonts w:asciiTheme="minorHAnsi" w:hAnsiTheme="minorHAnsi" w:cstheme="minorHAnsi"/>
          <w:b/>
          <w:i/>
          <w:sz w:val="20"/>
          <w:szCs w:val="20"/>
          <w:lang w:val="en-US"/>
        </w:rPr>
      </w:pPr>
    </w:p>
    <w:p w14:paraId="66FFF8FA" w14:textId="77777777" w:rsidR="00457E23" w:rsidRPr="0043036F" w:rsidRDefault="00457E23" w:rsidP="0012086F">
      <w:pPr>
        <w:spacing w:after="0" w:line="240" w:lineRule="auto"/>
        <w:jc w:val="both"/>
        <w:outlineLvl w:val="0"/>
        <w:rPr>
          <w:rFonts w:asciiTheme="minorHAnsi" w:hAnsiTheme="minorHAnsi" w:cstheme="minorHAnsi"/>
          <w:b/>
          <w:i/>
          <w:sz w:val="20"/>
          <w:szCs w:val="20"/>
          <w:lang w:val="en-US"/>
        </w:rPr>
      </w:pPr>
    </w:p>
    <w:p w14:paraId="1E6A523B" w14:textId="77777777" w:rsidR="0006068A" w:rsidRPr="0043036F" w:rsidRDefault="0006068A" w:rsidP="004767C6">
      <w:pPr>
        <w:autoSpaceDE w:val="0"/>
        <w:autoSpaceDN w:val="0"/>
        <w:adjustRightInd w:val="0"/>
        <w:spacing w:line="240" w:lineRule="atLeast"/>
        <w:jc w:val="both"/>
        <w:rPr>
          <w:rFonts w:asciiTheme="minorHAnsi" w:hAnsiTheme="minorHAnsi" w:cstheme="minorHAnsi"/>
          <w:b/>
          <w:color w:val="0254A5"/>
          <w:sz w:val="24"/>
          <w:szCs w:val="24"/>
          <w:lang w:val="en-US"/>
        </w:rPr>
      </w:pPr>
      <w:r w:rsidRPr="0043036F">
        <w:rPr>
          <w:rFonts w:asciiTheme="minorHAnsi" w:hAnsiTheme="minorHAnsi" w:cstheme="minorHAnsi"/>
          <w:b/>
          <w:color w:val="0254A5"/>
          <w:sz w:val="24"/>
          <w:szCs w:val="24"/>
          <w:lang w:val="en-US"/>
        </w:rPr>
        <w:t xml:space="preserve">Contacts </w:t>
      </w:r>
    </w:p>
    <w:p w14:paraId="6FE17188" w14:textId="3F36BAB0" w:rsidR="00C7626B" w:rsidRPr="0043036F" w:rsidRDefault="7D962BAE" w:rsidP="3A868EA2">
      <w:pPr>
        <w:jc w:val="both"/>
        <w:outlineLvl w:val="0"/>
        <w:rPr>
          <w:rFonts w:asciiTheme="minorHAnsi" w:hAnsiTheme="minorHAnsi" w:cstheme="minorBidi"/>
          <w:sz w:val="24"/>
          <w:szCs w:val="24"/>
          <w:highlight w:val="cyan"/>
          <w:lang w:val="en-US"/>
        </w:rPr>
      </w:pPr>
      <w:r w:rsidRPr="3A868EA2">
        <w:rPr>
          <w:rFonts w:asciiTheme="minorHAnsi" w:hAnsiTheme="minorHAnsi" w:cstheme="minorBidi"/>
          <w:sz w:val="24"/>
          <w:szCs w:val="24"/>
          <w:lang w:val="en-US"/>
        </w:rPr>
        <w:t xml:space="preserve">LEXIBOOK </w:t>
      </w:r>
      <w:r w:rsidR="097133F4" w:rsidRPr="3A868EA2">
        <w:rPr>
          <w:rFonts w:asciiTheme="minorHAnsi" w:hAnsiTheme="minorHAnsi" w:cstheme="minorBidi"/>
          <w:sz w:val="24"/>
          <w:szCs w:val="24"/>
          <w:lang w:val="en-US"/>
        </w:rPr>
        <w:t>- Aymeric Le Cottier – CEO – aymericlecottier@lexibook.com</w:t>
      </w:r>
    </w:p>
    <w:sectPr w:rsidR="00C7626B" w:rsidRPr="0043036F" w:rsidSect="007E1F95">
      <w:headerReference w:type="default" r:id="rId13"/>
      <w:footerReference w:type="default" r:id="rId14"/>
      <w:footnotePr>
        <w:numRestart w:val="eachPage"/>
      </w:footnotePr>
      <w:type w:val="continuous"/>
      <w:pgSz w:w="11906" w:h="16838" w:code="9"/>
      <w:pgMar w:top="720" w:right="720" w:bottom="720" w:left="72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3087C" w14:textId="77777777" w:rsidR="00943CF2" w:rsidRDefault="00943CF2" w:rsidP="00A02228">
      <w:pPr>
        <w:spacing w:after="0" w:line="240" w:lineRule="auto"/>
      </w:pPr>
      <w:r>
        <w:separator/>
      </w:r>
    </w:p>
  </w:endnote>
  <w:endnote w:type="continuationSeparator" w:id="0">
    <w:p w14:paraId="106D5C90" w14:textId="77777777" w:rsidR="00943CF2" w:rsidRDefault="00943CF2" w:rsidP="00A02228">
      <w:pPr>
        <w:spacing w:after="0" w:line="240" w:lineRule="auto"/>
      </w:pPr>
      <w:r>
        <w:continuationSeparator/>
      </w:r>
    </w:p>
  </w:endnote>
  <w:endnote w:type="continuationNotice" w:id="1">
    <w:p w14:paraId="54C6D47C" w14:textId="77777777" w:rsidR="00943CF2" w:rsidRDefault="00943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C1039A8" w14:paraId="505F1480" w14:textId="77777777" w:rsidTr="0C1039A8">
      <w:trPr>
        <w:trHeight w:val="300"/>
      </w:trPr>
      <w:tc>
        <w:tcPr>
          <w:tcW w:w="3485" w:type="dxa"/>
        </w:tcPr>
        <w:p w14:paraId="0267C837" w14:textId="5179A806" w:rsidR="0C1039A8" w:rsidRDefault="0C1039A8" w:rsidP="0C1039A8">
          <w:pPr>
            <w:pStyle w:val="En-tte"/>
            <w:ind w:left="-115"/>
          </w:pPr>
        </w:p>
      </w:tc>
      <w:tc>
        <w:tcPr>
          <w:tcW w:w="3485" w:type="dxa"/>
        </w:tcPr>
        <w:p w14:paraId="7551285C" w14:textId="3EE34D84" w:rsidR="0C1039A8" w:rsidRDefault="0C1039A8" w:rsidP="0C1039A8">
          <w:pPr>
            <w:pStyle w:val="En-tte"/>
            <w:jc w:val="center"/>
          </w:pPr>
        </w:p>
      </w:tc>
      <w:tc>
        <w:tcPr>
          <w:tcW w:w="3485" w:type="dxa"/>
        </w:tcPr>
        <w:p w14:paraId="228DB4F4" w14:textId="0C9B928E" w:rsidR="0C1039A8" w:rsidRDefault="0C1039A8" w:rsidP="0C1039A8">
          <w:pPr>
            <w:pStyle w:val="En-tte"/>
            <w:ind w:right="-115"/>
            <w:jc w:val="right"/>
          </w:pPr>
          <w:r>
            <w:fldChar w:fldCharType="begin"/>
          </w:r>
          <w:r>
            <w:instrText>PAGE</w:instrText>
          </w:r>
          <w:r>
            <w:fldChar w:fldCharType="separate"/>
          </w:r>
          <w:r w:rsidR="00957681">
            <w:rPr>
              <w:noProof/>
            </w:rPr>
            <w:t>1</w:t>
          </w:r>
          <w:r>
            <w:fldChar w:fldCharType="end"/>
          </w:r>
        </w:p>
      </w:tc>
    </w:tr>
  </w:tbl>
  <w:p w14:paraId="1B5EF6AE" w14:textId="7A9A5EBB" w:rsidR="0C1039A8" w:rsidRDefault="0C1039A8" w:rsidP="0C1039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C1039A8" w14:paraId="38031AA4" w14:textId="77777777" w:rsidTr="6BEB91E7">
      <w:trPr>
        <w:trHeight w:val="300"/>
      </w:trPr>
      <w:tc>
        <w:tcPr>
          <w:tcW w:w="3485" w:type="dxa"/>
        </w:tcPr>
        <w:p w14:paraId="10EC2FB7" w14:textId="1DF79291" w:rsidR="0C1039A8" w:rsidRDefault="6BEB91E7" w:rsidP="0C1039A8">
          <w:pPr>
            <w:pStyle w:val="En-tte"/>
            <w:ind w:left="-115"/>
          </w:pPr>
          <w:r>
            <w:t>Lexibook - Résultats annuels 2024/2025</w:t>
          </w:r>
        </w:p>
      </w:tc>
      <w:tc>
        <w:tcPr>
          <w:tcW w:w="3485" w:type="dxa"/>
        </w:tcPr>
        <w:p w14:paraId="06CD120B" w14:textId="41439E30" w:rsidR="0C1039A8" w:rsidRDefault="0C1039A8" w:rsidP="0C1039A8">
          <w:pPr>
            <w:pStyle w:val="En-tte"/>
            <w:jc w:val="center"/>
          </w:pPr>
        </w:p>
      </w:tc>
      <w:tc>
        <w:tcPr>
          <w:tcW w:w="3485" w:type="dxa"/>
        </w:tcPr>
        <w:p w14:paraId="40769670" w14:textId="475200A4" w:rsidR="0C1039A8" w:rsidRDefault="0C1039A8" w:rsidP="0C1039A8">
          <w:pPr>
            <w:pStyle w:val="En-tte"/>
            <w:ind w:right="-115"/>
            <w:jc w:val="right"/>
          </w:pPr>
          <w:r>
            <w:fldChar w:fldCharType="begin"/>
          </w:r>
          <w:r>
            <w:instrText>PAGE</w:instrText>
          </w:r>
          <w:r>
            <w:fldChar w:fldCharType="separate"/>
          </w:r>
          <w:r w:rsidR="00957681">
            <w:rPr>
              <w:noProof/>
            </w:rPr>
            <w:t>3</w:t>
          </w:r>
          <w:r>
            <w:fldChar w:fldCharType="end"/>
          </w:r>
        </w:p>
      </w:tc>
    </w:tr>
  </w:tbl>
  <w:p w14:paraId="32C6458A" w14:textId="38164E0D" w:rsidR="0C1039A8" w:rsidRDefault="0C1039A8" w:rsidP="0C1039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89F75" w14:textId="77777777" w:rsidR="00943CF2" w:rsidRDefault="00943CF2" w:rsidP="00A02228">
      <w:pPr>
        <w:spacing w:after="0" w:line="240" w:lineRule="auto"/>
      </w:pPr>
      <w:r>
        <w:separator/>
      </w:r>
    </w:p>
  </w:footnote>
  <w:footnote w:type="continuationSeparator" w:id="0">
    <w:p w14:paraId="002D21D5" w14:textId="77777777" w:rsidR="00943CF2" w:rsidRDefault="00943CF2" w:rsidP="00A02228">
      <w:pPr>
        <w:spacing w:after="0" w:line="240" w:lineRule="auto"/>
      </w:pPr>
      <w:r>
        <w:continuationSeparator/>
      </w:r>
    </w:p>
  </w:footnote>
  <w:footnote w:type="continuationNotice" w:id="1">
    <w:p w14:paraId="2DC570AE" w14:textId="77777777" w:rsidR="00943CF2" w:rsidRDefault="00943C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F867E" w14:textId="77777777" w:rsidR="006377DB" w:rsidRDefault="006377D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138750453"/>
  <w:bookmarkStart w:id="3" w:name="_Hlk138750454"/>
  <w:bookmarkStart w:id="4" w:name="_Hlk138750455"/>
  <w:bookmarkStart w:id="5" w:name="_Hlk138750456"/>
  <w:bookmarkStart w:id="6" w:name="_Hlk138750457"/>
  <w:bookmarkStart w:id="7" w:name="_Hlk138750458"/>
  <w:bookmarkStart w:id="8" w:name="_Hlk138750459"/>
  <w:bookmarkStart w:id="9" w:name="_Hlk138750460"/>
  <w:bookmarkStart w:id="10" w:name="_Hlk138750461"/>
  <w:bookmarkStart w:id="11" w:name="_Hlk138750462"/>
  <w:bookmarkStart w:id="12" w:name="_Hlk138750473"/>
  <w:bookmarkStart w:id="13" w:name="_Hlk138750474"/>
  <w:bookmarkStart w:id="14" w:name="_Hlk138750475"/>
  <w:bookmarkStart w:id="15" w:name="_Hlk138750476"/>
  <w:bookmarkStart w:id="16" w:name="_Hlk138750478"/>
  <w:bookmarkStart w:id="17" w:name="_Hlk138750479"/>
  <w:bookmarkStart w:id="18" w:name="_Hlk138750480"/>
  <w:bookmarkStart w:id="19" w:name="_Hlk138750481"/>
  <w:bookmarkStart w:id="20" w:name="_Hlk138750486"/>
  <w:bookmarkStart w:id="21" w:name="_Hlk138750487"/>
  <w:bookmarkStart w:id="22" w:name="_Hlk138750488"/>
  <w:bookmarkStart w:id="23" w:name="_Hlk138750489"/>
  <w:bookmarkStart w:id="24" w:name="_Hlk138750490"/>
  <w:bookmarkStart w:id="25" w:name="_Hlk138750491"/>
  <w:bookmarkStart w:id="26" w:name="_Hlk138750492"/>
  <w:bookmarkStart w:id="27" w:name="_Hlk138750493"/>
  <w:bookmarkStart w:id="28" w:name="_Hlk138750494"/>
  <w:bookmarkStart w:id="29" w:name="_Hlk138750495"/>
  <w:bookmarkStart w:id="30" w:name="_Hlk138750496"/>
  <w:bookmarkStart w:id="31" w:name="_Hlk138750497"/>
  <w:p w14:paraId="1F183CE0" w14:textId="3DE65484" w:rsidR="000B345C" w:rsidRPr="000B345C" w:rsidRDefault="000B345C" w:rsidP="000B345C">
    <w:pPr>
      <w:pStyle w:val="En-tte"/>
      <w:tabs>
        <w:tab w:val="clear" w:pos="4536"/>
        <w:tab w:val="clear" w:pos="9072"/>
        <w:tab w:val="left" w:pos="6675"/>
      </w:tabs>
      <w:spacing w:after="0"/>
      <w:ind w:left="-142" w:right="7631"/>
      <w:jc w:val="center"/>
      <w:rPr>
        <w:b/>
        <w:bCs/>
        <w:sz w:val="28"/>
        <w:szCs w:val="28"/>
      </w:rPr>
    </w:pPr>
    <w:r w:rsidRPr="000B345C">
      <w:rPr>
        <w:b/>
        <w:bCs/>
        <w:noProof/>
        <w:sz w:val="28"/>
        <w:szCs w:val="28"/>
      </w:rPr>
      <mc:AlternateContent>
        <mc:Choice Requires="wps">
          <w:drawing>
            <wp:anchor distT="0" distB="0" distL="114300" distR="114300" simplePos="0" relativeHeight="251658240" behindDoc="0" locked="0" layoutInCell="1" allowOverlap="1" wp14:anchorId="46A97642" wp14:editId="5A2DC538">
              <wp:simplePos x="0" y="0"/>
              <wp:positionH relativeFrom="column">
                <wp:posOffset>-457200</wp:posOffset>
              </wp:positionH>
              <wp:positionV relativeFrom="paragraph">
                <wp:posOffset>277826</wp:posOffset>
              </wp:positionV>
              <wp:extent cx="7591425" cy="0"/>
              <wp:effectExtent l="0" t="0" r="0" b="0"/>
              <wp:wrapNone/>
              <wp:docPr id="1232976971" name="Connecteur droit 1"/>
              <wp:cNvGraphicFramePr/>
              <a:graphic xmlns:a="http://schemas.openxmlformats.org/drawingml/2006/main">
                <a:graphicData uri="http://schemas.microsoft.com/office/word/2010/wordprocessingShape">
                  <wps:wsp>
                    <wps:cNvCnPr/>
                    <wps:spPr>
                      <a:xfrm>
                        <a:off x="0" y="0"/>
                        <a:ext cx="7591425" cy="0"/>
                      </a:xfrm>
                      <a:prstGeom prst="line">
                        <a:avLst/>
                      </a:prstGeom>
                      <a:ln w="19050">
                        <a:solidFill>
                          <a:srgbClr val="0254A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3A7E63A">
            <v:line id="Connecteur droit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254a5" strokeweight="1.5pt" from="-36pt,21.9pt" to="561.75pt,21.9pt" w14:anchorId="436DE2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">
              <v:stroke joinstyle="miter"/>
            </v:line>
          </w:pict>
        </mc:Fallback>
      </mc:AlternateContent>
    </w:r>
    <w:r w:rsidRPr="000B345C">
      <w:rPr>
        <w:b/>
        <w:bCs/>
        <w:sz w:val="28"/>
        <w:szCs w:val="28"/>
      </w:rPr>
      <w:t>Communiqué de presse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DAB1594" w14:textId="4A8A4425" w:rsidR="000B345C" w:rsidRPr="000B345C" w:rsidRDefault="000B345C" w:rsidP="000B345C">
    <w:pPr>
      <w:pStyle w:val="En-tte"/>
      <w:tabs>
        <w:tab w:val="clear" w:pos="4536"/>
        <w:tab w:val="clear" w:pos="9072"/>
        <w:tab w:val="left" w:pos="6675"/>
      </w:tabs>
      <w:spacing w:after="0"/>
      <w:rPr>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5C653" w14:textId="77777777" w:rsidR="006377DB" w:rsidRDefault="006377D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1BF56" w14:textId="22C7586D" w:rsidR="000B345C" w:rsidRPr="000B345C" w:rsidRDefault="000B345C" w:rsidP="000B345C">
    <w:pPr>
      <w:pStyle w:val="En-tte"/>
      <w:tabs>
        <w:tab w:val="clear" w:pos="4536"/>
        <w:tab w:val="clear" w:pos="9072"/>
        <w:tab w:val="left" w:pos="6675"/>
      </w:tabs>
      <w:spacing w:after="0"/>
      <w:rPr>
        <w:b/>
        <w:bCs/>
        <w:sz w:val="24"/>
        <w:szCs w:val="24"/>
      </w:rPr>
    </w:pPr>
  </w:p>
</w:hdr>
</file>

<file path=word/intelligence2.xml><?xml version="1.0" encoding="utf-8"?>
<int2:intelligence xmlns:int2="http://schemas.microsoft.com/office/intelligence/2020/intelligence" xmlns:oel="http://schemas.microsoft.com/office/2019/extlst">
  <int2:observations>
    <int2:textHash int2:hashCode="t4pB/lWr7eeldX" int2:id="aCDKDJCb">
      <int2:state int2:value="Rejected" int2:type="AugLoop_Text_Critique"/>
    </int2:textHash>
    <int2:bookmark int2:bookmarkName="_Int_w5XQDUSx" int2:invalidationBookmarkName="" int2:hashCode="VT6WrfWzpPhMBn" int2:id="E2TWWa5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708E"/>
    <w:multiLevelType w:val="hybridMultilevel"/>
    <w:tmpl w:val="457E5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BA0434"/>
    <w:multiLevelType w:val="hybridMultilevel"/>
    <w:tmpl w:val="1BA85FEE"/>
    <w:lvl w:ilvl="0" w:tplc="423411BE">
      <w:start w:val="2"/>
      <w:numFmt w:val="bullet"/>
      <w:lvlText w:val="-"/>
      <w:lvlJc w:val="left"/>
      <w:pPr>
        <w:tabs>
          <w:tab w:val="num" w:pos="1068"/>
        </w:tabs>
        <w:ind w:left="1068"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7DB7E68"/>
    <w:multiLevelType w:val="hybridMultilevel"/>
    <w:tmpl w:val="C4800F22"/>
    <w:lvl w:ilvl="0" w:tplc="771E49EE">
      <w:numFmt w:val="bullet"/>
      <w:lvlText w:val="-"/>
      <w:lvlJc w:val="left"/>
      <w:pPr>
        <w:ind w:left="360" w:hanging="360"/>
      </w:pPr>
      <w:rPr>
        <w:rFonts w:ascii="Arial" w:eastAsia="Calibri"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9D73569"/>
    <w:multiLevelType w:val="hybridMultilevel"/>
    <w:tmpl w:val="8014E2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47E9B"/>
    <w:multiLevelType w:val="hybridMultilevel"/>
    <w:tmpl w:val="A1666C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D52824"/>
    <w:multiLevelType w:val="hybridMultilevel"/>
    <w:tmpl w:val="B282B490"/>
    <w:lvl w:ilvl="0" w:tplc="6630BD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DE217B"/>
    <w:multiLevelType w:val="hybridMultilevel"/>
    <w:tmpl w:val="EAB6DFB8"/>
    <w:lvl w:ilvl="0" w:tplc="08ACF43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3B6678"/>
    <w:multiLevelType w:val="hybridMultilevel"/>
    <w:tmpl w:val="A498E6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D613DC"/>
    <w:multiLevelType w:val="hybridMultilevel"/>
    <w:tmpl w:val="0ABAC2DE"/>
    <w:lvl w:ilvl="0" w:tplc="040C0001">
      <w:start w:val="1"/>
      <w:numFmt w:val="bullet"/>
      <w:lvlText w:val=""/>
      <w:lvlJc w:val="left"/>
      <w:pPr>
        <w:ind w:left="2832" w:hanging="360"/>
      </w:pPr>
      <w:rPr>
        <w:rFonts w:ascii="Symbol" w:hAnsi="Symbol" w:hint="default"/>
      </w:rPr>
    </w:lvl>
    <w:lvl w:ilvl="1" w:tplc="040C0003" w:tentative="1">
      <w:start w:val="1"/>
      <w:numFmt w:val="bullet"/>
      <w:lvlText w:val="o"/>
      <w:lvlJc w:val="left"/>
      <w:pPr>
        <w:ind w:left="3552" w:hanging="360"/>
      </w:pPr>
      <w:rPr>
        <w:rFonts w:ascii="Courier New" w:hAnsi="Courier New" w:cs="Courier New" w:hint="default"/>
      </w:rPr>
    </w:lvl>
    <w:lvl w:ilvl="2" w:tplc="040C0005" w:tentative="1">
      <w:start w:val="1"/>
      <w:numFmt w:val="bullet"/>
      <w:lvlText w:val=""/>
      <w:lvlJc w:val="left"/>
      <w:pPr>
        <w:ind w:left="4272" w:hanging="360"/>
      </w:pPr>
      <w:rPr>
        <w:rFonts w:ascii="Wingdings" w:hAnsi="Wingdings" w:hint="default"/>
      </w:rPr>
    </w:lvl>
    <w:lvl w:ilvl="3" w:tplc="040C0001" w:tentative="1">
      <w:start w:val="1"/>
      <w:numFmt w:val="bullet"/>
      <w:lvlText w:val=""/>
      <w:lvlJc w:val="left"/>
      <w:pPr>
        <w:ind w:left="4992" w:hanging="360"/>
      </w:pPr>
      <w:rPr>
        <w:rFonts w:ascii="Symbol" w:hAnsi="Symbol" w:hint="default"/>
      </w:rPr>
    </w:lvl>
    <w:lvl w:ilvl="4" w:tplc="040C0003" w:tentative="1">
      <w:start w:val="1"/>
      <w:numFmt w:val="bullet"/>
      <w:lvlText w:val="o"/>
      <w:lvlJc w:val="left"/>
      <w:pPr>
        <w:ind w:left="5712" w:hanging="360"/>
      </w:pPr>
      <w:rPr>
        <w:rFonts w:ascii="Courier New" w:hAnsi="Courier New" w:cs="Courier New" w:hint="default"/>
      </w:rPr>
    </w:lvl>
    <w:lvl w:ilvl="5" w:tplc="040C0005" w:tentative="1">
      <w:start w:val="1"/>
      <w:numFmt w:val="bullet"/>
      <w:lvlText w:val=""/>
      <w:lvlJc w:val="left"/>
      <w:pPr>
        <w:ind w:left="6432" w:hanging="360"/>
      </w:pPr>
      <w:rPr>
        <w:rFonts w:ascii="Wingdings" w:hAnsi="Wingdings" w:hint="default"/>
      </w:rPr>
    </w:lvl>
    <w:lvl w:ilvl="6" w:tplc="040C0001" w:tentative="1">
      <w:start w:val="1"/>
      <w:numFmt w:val="bullet"/>
      <w:lvlText w:val=""/>
      <w:lvlJc w:val="left"/>
      <w:pPr>
        <w:ind w:left="7152" w:hanging="360"/>
      </w:pPr>
      <w:rPr>
        <w:rFonts w:ascii="Symbol" w:hAnsi="Symbol" w:hint="default"/>
      </w:rPr>
    </w:lvl>
    <w:lvl w:ilvl="7" w:tplc="040C0003" w:tentative="1">
      <w:start w:val="1"/>
      <w:numFmt w:val="bullet"/>
      <w:lvlText w:val="o"/>
      <w:lvlJc w:val="left"/>
      <w:pPr>
        <w:ind w:left="7872" w:hanging="360"/>
      </w:pPr>
      <w:rPr>
        <w:rFonts w:ascii="Courier New" w:hAnsi="Courier New" w:cs="Courier New" w:hint="default"/>
      </w:rPr>
    </w:lvl>
    <w:lvl w:ilvl="8" w:tplc="040C0005" w:tentative="1">
      <w:start w:val="1"/>
      <w:numFmt w:val="bullet"/>
      <w:lvlText w:val=""/>
      <w:lvlJc w:val="left"/>
      <w:pPr>
        <w:ind w:left="8592" w:hanging="360"/>
      </w:pPr>
      <w:rPr>
        <w:rFonts w:ascii="Wingdings" w:hAnsi="Wingdings" w:hint="default"/>
      </w:rPr>
    </w:lvl>
  </w:abstractNum>
  <w:abstractNum w:abstractNumId="9" w15:restartNumberingAfterBreak="0">
    <w:nsid w:val="2DD4537B"/>
    <w:multiLevelType w:val="hybridMultilevel"/>
    <w:tmpl w:val="4D6A5B0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F5048F7"/>
    <w:multiLevelType w:val="hybridMultilevel"/>
    <w:tmpl w:val="7A3E1756"/>
    <w:lvl w:ilvl="0" w:tplc="C9568526">
      <w:numFmt w:val="bullet"/>
      <w:lvlText w:val=""/>
      <w:lvlJc w:val="left"/>
      <w:pPr>
        <w:ind w:left="1065" w:hanging="360"/>
      </w:pPr>
      <w:rPr>
        <w:rFonts w:ascii="Wingdings" w:eastAsia="Times New Roman" w:hAnsi="Wingdings"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3403106D"/>
    <w:multiLevelType w:val="hybridMultilevel"/>
    <w:tmpl w:val="BE66CF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4A9004F"/>
    <w:multiLevelType w:val="hybridMultilevel"/>
    <w:tmpl w:val="08F634D8"/>
    <w:lvl w:ilvl="0" w:tplc="73D4EF6E">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AE73B9"/>
    <w:multiLevelType w:val="hybridMultilevel"/>
    <w:tmpl w:val="E7A2ECCA"/>
    <w:lvl w:ilvl="0" w:tplc="732E0D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B10FE7"/>
    <w:multiLevelType w:val="hybridMultilevel"/>
    <w:tmpl w:val="4516BC92"/>
    <w:lvl w:ilvl="0" w:tplc="CD363D4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241032"/>
    <w:multiLevelType w:val="hybridMultilevel"/>
    <w:tmpl w:val="F74814E0"/>
    <w:lvl w:ilvl="0" w:tplc="EEE2E562">
      <w:start w:val="1"/>
      <w:numFmt w:val="bullet"/>
      <w:lvlText w:val=""/>
      <w:lvlJc w:val="left"/>
      <w:pPr>
        <w:ind w:left="360" w:hanging="360"/>
      </w:pPr>
      <w:rPr>
        <w:rFonts w:ascii="Symbol" w:hAnsi="Symbol" w:hint="default"/>
        <w:b w:val="0"/>
        <w:sz w:val="28"/>
        <w:szCs w:val="28"/>
      </w:rPr>
    </w:lvl>
    <w:lvl w:ilvl="1" w:tplc="040C0003">
      <w:start w:val="1"/>
      <w:numFmt w:val="bullet"/>
      <w:lvlText w:val="o"/>
      <w:lvlJc w:val="left"/>
      <w:pPr>
        <w:ind w:left="1299" w:hanging="360"/>
      </w:pPr>
      <w:rPr>
        <w:rFonts w:ascii="Courier New" w:hAnsi="Courier New" w:cs="Courier New" w:hint="default"/>
      </w:rPr>
    </w:lvl>
    <w:lvl w:ilvl="2" w:tplc="040C0005">
      <w:start w:val="1"/>
      <w:numFmt w:val="bullet"/>
      <w:lvlText w:val=""/>
      <w:lvlJc w:val="left"/>
      <w:pPr>
        <w:ind w:left="2019" w:hanging="360"/>
      </w:pPr>
      <w:rPr>
        <w:rFonts w:ascii="Wingdings" w:hAnsi="Wingdings" w:hint="default"/>
      </w:rPr>
    </w:lvl>
    <w:lvl w:ilvl="3" w:tplc="040C0001">
      <w:start w:val="1"/>
      <w:numFmt w:val="bullet"/>
      <w:lvlText w:val=""/>
      <w:lvlJc w:val="left"/>
      <w:pPr>
        <w:ind w:left="2739" w:hanging="360"/>
      </w:pPr>
      <w:rPr>
        <w:rFonts w:ascii="Symbol" w:hAnsi="Symbol" w:hint="default"/>
      </w:rPr>
    </w:lvl>
    <w:lvl w:ilvl="4" w:tplc="040C0003">
      <w:start w:val="1"/>
      <w:numFmt w:val="bullet"/>
      <w:lvlText w:val="o"/>
      <w:lvlJc w:val="left"/>
      <w:pPr>
        <w:ind w:left="3459" w:hanging="360"/>
      </w:pPr>
      <w:rPr>
        <w:rFonts w:ascii="Courier New" w:hAnsi="Courier New" w:cs="Courier New" w:hint="default"/>
      </w:rPr>
    </w:lvl>
    <w:lvl w:ilvl="5" w:tplc="040C0005">
      <w:start w:val="1"/>
      <w:numFmt w:val="bullet"/>
      <w:lvlText w:val=""/>
      <w:lvlJc w:val="left"/>
      <w:pPr>
        <w:ind w:left="4179" w:hanging="360"/>
      </w:pPr>
      <w:rPr>
        <w:rFonts w:ascii="Wingdings" w:hAnsi="Wingdings" w:hint="default"/>
      </w:rPr>
    </w:lvl>
    <w:lvl w:ilvl="6" w:tplc="040C0001">
      <w:start w:val="1"/>
      <w:numFmt w:val="bullet"/>
      <w:lvlText w:val=""/>
      <w:lvlJc w:val="left"/>
      <w:pPr>
        <w:ind w:left="4899" w:hanging="360"/>
      </w:pPr>
      <w:rPr>
        <w:rFonts w:ascii="Symbol" w:hAnsi="Symbol" w:hint="default"/>
      </w:rPr>
    </w:lvl>
    <w:lvl w:ilvl="7" w:tplc="040C0003">
      <w:start w:val="1"/>
      <w:numFmt w:val="bullet"/>
      <w:lvlText w:val="o"/>
      <w:lvlJc w:val="left"/>
      <w:pPr>
        <w:ind w:left="5619" w:hanging="360"/>
      </w:pPr>
      <w:rPr>
        <w:rFonts w:ascii="Courier New" w:hAnsi="Courier New" w:cs="Courier New" w:hint="default"/>
      </w:rPr>
    </w:lvl>
    <w:lvl w:ilvl="8" w:tplc="040C0005">
      <w:start w:val="1"/>
      <w:numFmt w:val="bullet"/>
      <w:lvlText w:val=""/>
      <w:lvlJc w:val="left"/>
      <w:pPr>
        <w:ind w:left="6339" w:hanging="360"/>
      </w:pPr>
      <w:rPr>
        <w:rFonts w:ascii="Wingdings" w:hAnsi="Wingdings" w:hint="default"/>
      </w:rPr>
    </w:lvl>
  </w:abstractNum>
  <w:abstractNum w:abstractNumId="16" w15:restartNumberingAfterBreak="0">
    <w:nsid w:val="436E18E7"/>
    <w:multiLevelType w:val="hybridMultilevel"/>
    <w:tmpl w:val="2DF20A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46363D73"/>
    <w:multiLevelType w:val="hybridMultilevel"/>
    <w:tmpl w:val="49BE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4876CE"/>
    <w:multiLevelType w:val="hybridMultilevel"/>
    <w:tmpl w:val="9E081402"/>
    <w:lvl w:ilvl="0" w:tplc="164E2E08">
      <w:start w:val="1"/>
      <w:numFmt w:val="bullet"/>
      <w:lvlText w:val="-"/>
      <w:lvlJc w:val="left"/>
      <w:pPr>
        <w:ind w:left="720" w:hanging="360"/>
      </w:pPr>
      <w:rPr>
        <w:rFonts w:ascii="Aptos" w:hAnsi="Aptos" w:hint="default"/>
      </w:rPr>
    </w:lvl>
    <w:lvl w:ilvl="1" w:tplc="51685D92">
      <w:start w:val="1"/>
      <w:numFmt w:val="bullet"/>
      <w:lvlText w:val="o"/>
      <w:lvlJc w:val="left"/>
      <w:pPr>
        <w:ind w:left="1440" w:hanging="360"/>
      </w:pPr>
      <w:rPr>
        <w:rFonts w:ascii="Courier New" w:hAnsi="Courier New" w:hint="default"/>
      </w:rPr>
    </w:lvl>
    <w:lvl w:ilvl="2" w:tplc="FE301056">
      <w:start w:val="1"/>
      <w:numFmt w:val="bullet"/>
      <w:lvlText w:val=""/>
      <w:lvlJc w:val="left"/>
      <w:pPr>
        <w:ind w:left="2160" w:hanging="360"/>
      </w:pPr>
      <w:rPr>
        <w:rFonts w:ascii="Wingdings" w:hAnsi="Wingdings" w:hint="default"/>
      </w:rPr>
    </w:lvl>
    <w:lvl w:ilvl="3" w:tplc="332C7306">
      <w:start w:val="1"/>
      <w:numFmt w:val="bullet"/>
      <w:lvlText w:val=""/>
      <w:lvlJc w:val="left"/>
      <w:pPr>
        <w:ind w:left="2880" w:hanging="360"/>
      </w:pPr>
      <w:rPr>
        <w:rFonts w:ascii="Symbol" w:hAnsi="Symbol" w:hint="default"/>
      </w:rPr>
    </w:lvl>
    <w:lvl w:ilvl="4" w:tplc="1F66DEA4">
      <w:start w:val="1"/>
      <w:numFmt w:val="bullet"/>
      <w:lvlText w:val="o"/>
      <w:lvlJc w:val="left"/>
      <w:pPr>
        <w:ind w:left="3600" w:hanging="360"/>
      </w:pPr>
      <w:rPr>
        <w:rFonts w:ascii="Courier New" w:hAnsi="Courier New" w:hint="default"/>
      </w:rPr>
    </w:lvl>
    <w:lvl w:ilvl="5" w:tplc="F12CD582">
      <w:start w:val="1"/>
      <w:numFmt w:val="bullet"/>
      <w:lvlText w:val=""/>
      <w:lvlJc w:val="left"/>
      <w:pPr>
        <w:ind w:left="4320" w:hanging="360"/>
      </w:pPr>
      <w:rPr>
        <w:rFonts w:ascii="Wingdings" w:hAnsi="Wingdings" w:hint="default"/>
      </w:rPr>
    </w:lvl>
    <w:lvl w:ilvl="6" w:tplc="846235D2">
      <w:start w:val="1"/>
      <w:numFmt w:val="bullet"/>
      <w:lvlText w:val=""/>
      <w:lvlJc w:val="left"/>
      <w:pPr>
        <w:ind w:left="5040" w:hanging="360"/>
      </w:pPr>
      <w:rPr>
        <w:rFonts w:ascii="Symbol" w:hAnsi="Symbol" w:hint="default"/>
      </w:rPr>
    </w:lvl>
    <w:lvl w:ilvl="7" w:tplc="27C6473C">
      <w:start w:val="1"/>
      <w:numFmt w:val="bullet"/>
      <w:lvlText w:val="o"/>
      <w:lvlJc w:val="left"/>
      <w:pPr>
        <w:ind w:left="5760" w:hanging="360"/>
      </w:pPr>
      <w:rPr>
        <w:rFonts w:ascii="Courier New" w:hAnsi="Courier New" w:hint="default"/>
      </w:rPr>
    </w:lvl>
    <w:lvl w:ilvl="8" w:tplc="28BC07AC">
      <w:start w:val="1"/>
      <w:numFmt w:val="bullet"/>
      <w:lvlText w:val=""/>
      <w:lvlJc w:val="left"/>
      <w:pPr>
        <w:ind w:left="6480" w:hanging="360"/>
      </w:pPr>
      <w:rPr>
        <w:rFonts w:ascii="Wingdings" w:hAnsi="Wingdings" w:hint="default"/>
      </w:rPr>
    </w:lvl>
  </w:abstractNum>
  <w:abstractNum w:abstractNumId="19" w15:restartNumberingAfterBreak="0">
    <w:nsid w:val="492F44C6"/>
    <w:multiLevelType w:val="hybridMultilevel"/>
    <w:tmpl w:val="C0B42990"/>
    <w:lvl w:ilvl="0" w:tplc="51A24EF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B54BB4"/>
    <w:multiLevelType w:val="hybridMultilevel"/>
    <w:tmpl w:val="CEA2A56C"/>
    <w:lvl w:ilvl="0" w:tplc="D9FA081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954730"/>
    <w:multiLevelType w:val="hybridMultilevel"/>
    <w:tmpl w:val="AD7CDEAE"/>
    <w:lvl w:ilvl="0" w:tplc="26CEFC32">
      <w:start w:val="79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0127CD7"/>
    <w:multiLevelType w:val="hybridMultilevel"/>
    <w:tmpl w:val="FB80F296"/>
    <w:lvl w:ilvl="0" w:tplc="F614DD3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6F32E3"/>
    <w:multiLevelType w:val="hybridMultilevel"/>
    <w:tmpl w:val="06624156"/>
    <w:lvl w:ilvl="0" w:tplc="8654D02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E6D1E6C"/>
    <w:multiLevelType w:val="hybridMultilevel"/>
    <w:tmpl w:val="E908947E"/>
    <w:lvl w:ilvl="0" w:tplc="5CD02D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EE6E9A"/>
    <w:multiLevelType w:val="hybridMultilevel"/>
    <w:tmpl w:val="B6403A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A973983"/>
    <w:multiLevelType w:val="hybridMultilevel"/>
    <w:tmpl w:val="2946D24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7B65336A"/>
    <w:multiLevelType w:val="hybridMultilevel"/>
    <w:tmpl w:val="53A0ABF4"/>
    <w:lvl w:ilvl="0" w:tplc="A6A21E24">
      <w:start w:val="2013"/>
      <w:numFmt w:val="bullet"/>
      <w:lvlText w:val=""/>
      <w:lvlJc w:val="left"/>
      <w:pPr>
        <w:ind w:left="4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5F16A8"/>
    <w:multiLevelType w:val="hybridMultilevel"/>
    <w:tmpl w:val="B810BF36"/>
    <w:lvl w:ilvl="0" w:tplc="F614DD36">
      <w:numFmt w:val="bullet"/>
      <w:lvlText w:val="-"/>
      <w:lvlJc w:val="left"/>
      <w:pPr>
        <w:ind w:left="360" w:hanging="360"/>
      </w:pPr>
      <w:rPr>
        <w:rFonts w:ascii="Calibri" w:eastAsia="Times New Roman"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034453467">
    <w:abstractNumId w:val="18"/>
  </w:num>
  <w:num w:numId="2" w16cid:durableId="1161383273">
    <w:abstractNumId w:val="10"/>
  </w:num>
  <w:num w:numId="3" w16cid:durableId="1082873521">
    <w:abstractNumId w:val="22"/>
  </w:num>
  <w:num w:numId="4" w16cid:durableId="1943300840">
    <w:abstractNumId w:val="0"/>
  </w:num>
  <w:num w:numId="5" w16cid:durableId="1638026275">
    <w:abstractNumId w:val="24"/>
  </w:num>
  <w:num w:numId="6" w16cid:durableId="1547181941">
    <w:abstractNumId w:val="9"/>
  </w:num>
  <w:num w:numId="7" w16cid:durableId="26491802">
    <w:abstractNumId w:val="7"/>
  </w:num>
  <w:num w:numId="8" w16cid:durableId="398945131">
    <w:abstractNumId w:val="20"/>
  </w:num>
  <w:num w:numId="9" w16cid:durableId="1862666076">
    <w:abstractNumId w:val="5"/>
  </w:num>
  <w:num w:numId="10" w16cid:durableId="827021480">
    <w:abstractNumId w:val="23"/>
  </w:num>
  <w:num w:numId="11" w16cid:durableId="260920595">
    <w:abstractNumId w:val="1"/>
  </w:num>
  <w:num w:numId="12" w16cid:durableId="1922448400">
    <w:abstractNumId w:val="27"/>
  </w:num>
  <w:num w:numId="13" w16cid:durableId="1353990727">
    <w:abstractNumId w:val="19"/>
  </w:num>
  <w:num w:numId="14" w16cid:durableId="645939190">
    <w:abstractNumId w:val="12"/>
  </w:num>
  <w:num w:numId="15" w16cid:durableId="1767997014">
    <w:abstractNumId w:val="11"/>
  </w:num>
  <w:num w:numId="16" w16cid:durableId="1249192468">
    <w:abstractNumId w:val="6"/>
  </w:num>
  <w:num w:numId="17" w16cid:durableId="2139181883">
    <w:abstractNumId w:val="2"/>
  </w:num>
  <w:num w:numId="18" w16cid:durableId="509639567">
    <w:abstractNumId w:val="14"/>
  </w:num>
  <w:num w:numId="19" w16cid:durableId="2123374112">
    <w:abstractNumId w:val="21"/>
  </w:num>
  <w:num w:numId="20" w16cid:durableId="1331374178">
    <w:abstractNumId w:val="13"/>
  </w:num>
  <w:num w:numId="21" w16cid:durableId="576131640">
    <w:abstractNumId w:val="15"/>
  </w:num>
  <w:num w:numId="22" w16cid:durableId="643311125">
    <w:abstractNumId w:val="4"/>
  </w:num>
  <w:num w:numId="23" w16cid:durableId="40370862">
    <w:abstractNumId w:val="3"/>
  </w:num>
  <w:num w:numId="24" w16cid:durableId="1206989040">
    <w:abstractNumId w:val="26"/>
  </w:num>
  <w:num w:numId="25" w16cid:durableId="684136057">
    <w:abstractNumId w:val="17"/>
  </w:num>
  <w:num w:numId="26" w16cid:durableId="1447769371">
    <w:abstractNumId w:val="16"/>
  </w:num>
  <w:num w:numId="27" w16cid:durableId="1676030882">
    <w:abstractNumId w:val="8"/>
  </w:num>
  <w:num w:numId="28" w16cid:durableId="552038968">
    <w:abstractNumId w:val="15"/>
  </w:num>
  <w:num w:numId="29" w16cid:durableId="45108442">
    <w:abstractNumId w:val="28"/>
  </w:num>
  <w:num w:numId="30" w16cid:durableId="656148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262CD5"/>
    <w:rsid w:val="0000007F"/>
    <w:rsid w:val="00002423"/>
    <w:rsid w:val="0000358F"/>
    <w:rsid w:val="00006ED4"/>
    <w:rsid w:val="00007531"/>
    <w:rsid w:val="00007C87"/>
    <w:rsid w:val="00010D83"/>
    <w:rsid w:val="00012D88"/>
    <w:rsid w:val="00020AEC"/>
    <w:rsid w:val="00020BC2"/>
    <w:rsid w:val="000266B6"/>
    <w:rsid w:val="000322EA"/>
    <w:rsid w:val="00032804"/>
    <w:rsid w:val="00037227"/>
    <w:rsid w:val="00040323"/>
    <w:rsid w:val="00045939"/>
    <w:rsid w:val="0004687C"/>
    <w:rsid w:val="000505EA"/>
    <w:rsid w:val="0005107F"/>
    <w:rsid w:val="000515F9"/>
    <w:rsid w:val="00052C81"/>
    <w:rsid w:val="00053E58"/>
    <w:rsid w:val="00055B45"/>
    <w:rsid w:val="0005628C"/>
    <w:rsid w:val="000564F3"/>
    <w:rsid w:val="00056D51"/>
    <w:rsid w:val="0005EA97"/>
    <w:rsid w:val="0006046E"/>
    <w:rsid w:val="0006068A"/>
    <w:rsid w:val="0006288C"/>
    <w:rsid w:val="00064A77"/>
    <w:rsid w:val="0006559E"/>
    <w:rsid w:val="00065E6F"/>
    <w:rsid w:val="000663AD"/>
    <w:rsid w:val="00067154"/>
    <w:rsid w:val="000675FE"/>
    <w:rsid w:val="000704F2"/>
    <w:rsid w:val="000704F5"/>
    <w:rsid w:val="00072423"/>
    <w:rsid w:val="000733F8"/>
    <w:rsid w:val="00074792"/>
    <w:rsid w:val="00074900"/>
    <w:rsid w:val="00074C58"/>
    <w:rsid w:val="00076A4A"/>
    <w:rsid w:val="00081DDE"/>
    <w:rsid w:val="000821A9"/>
    <w:rsid w:val="0008290A"/>
    <w:rsid w:val="000860D6"/>
    <w:rsid w:val="00086B18"/>
    <w:rsid w:val="00087DB6"/>
    <w:rsid w:val="00090971"/>
    <w:rsid w:val="000911C1"/>
    <w:rsid w:val="00091EDB"/>
    <w:rsid w:val="00094E0B"/>
    <w:rsid w:val="00095258"/>
    <w:rsid w:val="000953A8"/>
    <w:rsid w:val="00095F64"/>
    <w:rsid w:val="00095FFD"/>
    <w:rsid w:val="000A183C"/>
    <w:rsid w:val="000A2348"/>
    <w:rsid w:val="000A28A9"/>
    <w:rsid w:val="000A531E"/>
    <w:rsid w:val="000A6B1B"/>
    <w:rsid w:val="000A7501"/>
    <w:rsid w:val="000B111C"/>
    <w:rsid w:val="000B2A2F"/>
    <w:rsid w:val="000B345C"/>
    <w:rsid w:val="000C33BA"/>
    <w:rsid w:val="000C3B4C"/>
    <w:rsid w:val="000C58C4"/>
    <w:rsid w:val="000D0B76"/>
    <w:rsid w:val="000D4483"/>
    <w:rsid w:val="000D4BA7"/>
    <w:rsid w:val="000D6552"/>
    <w:rsid w:val="000D6AB0"/>
    <w:rsid w:val="000E40A6"/>
    <w:rsid w:val="000E53AA"/>
    <w:rsid w:val="000E74E3"/>
    <w:rsid w:val="00100BDA"/>
    <w:rsid w:val="00102B46"/>
    <w:rsid w:val="00106EB5"/>
    <w:rsid w:val="001077CC"/>
    <w:rsid w:val="00111392"/>
    <w:rsid w:val="00112767"/>
    <w:rsid w:val="00112CD9"/>
    <w:rsid w:val="00117740"/>
    <w:rsid w:val="00120413"/>
    <w:rsid w:val="0012086F"/>
    <w:rsid w:val="00127A64"/>
    <w:rsid w:val="0013013B"/>
    <w:rsid w:val="001306B8"/>
    <w:rsid w:val="001325F7"/>
    <w:rsid w:val="00135D88"/>
    <w:rsid w:val="00135DC0"/>
    <w:rsid w:val="001360A3"/>
    <w:rsid w:val="001361EE"/>
    <w:rsid w:val="001413C8"/>
    <w:rsid w:val="00141D13"/>
    <w:rsid w:val="001437F6"/>
    <w:rsid w:val="00143867"/>
    <w:rsid w:val="00143BAF"/>
    <w:rsid w:val="00145478"/>
    <w:rsid w:val="00147718"/>
    <w:rsid w:val="0015064D"/>
    <w:rsid w:val="00155A4B"/>
    <w:rsid w:val="00157A52"/>
    <w:rsid w:val="00157AB2"/>
    <w:rsid w:val="0016147E"/>
    <w:rsid w:val="00162BAB"/>
    <w:rsid w:val="00167B7D"/>
    <w:rsid w:val="001702C1"/>
    <w:rsid w:val="00171FC2"/>
    <w:rsid w:val="00172819"/>
    <w:rsid w:val="00173A73"/>
    <w:rsid w:val="00177F36"/>
    <w:rsid w:val="001809C3"/>
    <w:rsid w:val="00180C3F"/>
    <w:rsid w:val="0018114E"/>
    <w:rsid w:val="001813D5"/>
    <w:rsid w:val="0018218B"/>
    <w:rsid w:val="001829B8"/>
    <w:rsid w:val="0018371D"/>
    <w:rsid w:val="00186578"/>
    <w:rsid w:val="00190EAC"/>
    <w:rsid w:val="00191347"/>
    <w:rsid w:val="00191A28"/>
    <w:rsid w:val="001922DA"/>
    <w:rsid w:val="00193877"/>
    <w:rsid w:val="00193F63"/>
    <w:rsid w:val="001947DE"/>
    <w:rsid w:val="00194A30"/>
    <w:rsid w:val="001A10BB"/>
    <w:rsid w:val="001A11FB"/>
    <w:rsid w:val="001A4D23"/>
    <w:rsid w:val="001A56DA"/>
    <w:rsid w:val="001A6336"/>
    <w:rsid w:val="001A6D72"/>
    <w:rsid w:val="001B0A52"/>
    <w:rsid w:val="001B160E"/>
    <w:rsid w:val="001B441C"/>
    <w:rsid w:val="001B5E6F"/>
    <w:rsid w:val="001C1058"/>
    <w:rsid w:val="001C2DB3"/>
    <w:rsid w:val="001C33BD"/>
    <w:rsid w:val="001C3C93"/>
    <w:rsid w:val="001C7BC0"/>
    <w:rsid w:val="001D0867"/>
    <w:rsid w:val="001D0DD5"/>
    <w:rsid w:val="001D1C3B"/>
    <w:rsid w:val="001D23FD"/>
    <w:rsid w:val="001D30DD"/>
    <w:rsid w:val="001D6C91"/>
    <w:rsid w:val="001E1326"/>
    <w:rsid w:val="001E165B"/>
    <w:rsid w:val="001E2CDD"/>
    <w:rsid w:val="001E3C5A"/>
    <w:rsid w:val="001E60F4"/>
    <w:rsid w:val="001F1E8C"/>
    <w:rsid w:val="001F4BF4"/>
    <w:rsid w:val="001F54C5"/>
    <w:rsid w:val="001F5C48"/>
    <w:rsid w:val="002000EC"/>
    <w:rsid w:val="002009B2"/>
    <w:rsid w:val="00201DEC"/>
    <w:rsid w:val="00202873"/>
    <w:rsid w:val="002078F3"/>
    <w:rsid w:val="00214863"/>
    <w:rsid w:val="00215BBF"/>
    <w:rsid w:val="002209F3"/>
    <w:rsid w:val="00221E8E"/>
    <w:rsid w:val="00225BF7"/>
    <w:rsid w:val="00226D6C"/>
    <w:rsid w:val="00227CE8"/>
    <w:rsid w:val="00231B6B"/>
    <w:rsid w:val="0023244E"/>
    <w:rsid w:val="00234AC8"/>
    <w:rsid w:val="00235E63"/>
    <w:rsid w:val="002409E3"/>
    <w:rsid w:val="00240C40"/>
    <w:rsid w:val="00244A4C"/>
    <w:rsid w:val="00245BA9"/>
    <w:rsid w:val="00246B5C"/>
    <w:rsid w:val="0024707E"/>
    <w:rsid w:val="00251E63"/>
    <w:rsid w:val="00255BBB"/>
    <w:rsid w:val="00257EBF"/>
    <w:rsid w:val="00261F82"/>
    <w:rsid w:val="002620A2"/>
    <w:rsid w:val="00262CD5"/>
    <w:rsid w:val="002632B1"/>
    <w:rsid w:val="00265B49"/>
    <w:rsid w:val="00271093"/>
    <w:rsid w:val="0027467A"/>
    <w:rsid w:val="002756FD"/>
    <w:rsid w:val="002761AC"/>
    <w:rsid w:val="002766CF"/>
    <w:rsid w:val="00280D5A"/>
    <w:rsid w:val="002817A5"/>
    <w:rsid w:val="002818CF"/>
    <w:rsid w:val="002823E3"/>
    <w:rsid w:val="00284C58"/>
    <w:rsid w:val="00286A22"/>
    <w:rsid w:val="002876EA"/>
    <w:rsid w:val="00294370"/>
    <w:rsid w:val="0029531F"/>
    <w:rsid w:val="002A0DC7"/>
    <w:rsid w:val="002A47BF"/>
    <w:rsid w:val="002A4B22"/>
    <w:rsid w:val="002A4E4E"/>
    <w:rsid w:val="002A4F51"/>
    <w:rsid w:val="002A5443"/>
    <w:rsid w:val="002A569D"/>
    <w:rsid w:val="002B1850"/>
    <w:rsid w:val="002B1D81"/>
    <w:rsid w:val="002B259E"/>
    <w:rsid w:val="002B2D5C"/>
    <w:rsid w:val="002B6379"/>
    <w:rsid w:val="002B6EE2"/>
    <w:rsid w:val="002B7E92"/>
    <w:rsid w:val="002C0717"/>
    <w:rsid w:val="002C0D76"/>
    <w:rsid w:val="002C4731"/>
    <w:rsid w:val="002C4F55"/>
    <w:rsid w:val="002C650C"/>
    <w:rsid w:val="002D0A5C"/>
    <w:rsid w:val="002D1FD7"/>
    <w:rsid w:val="002D2AA7"/>
    <w:rsid w:val="002D2E04"/>
    <w:rsid w:val="002E07D0"/>
    <w:rsid w:val="002E4A72"/>
    <w:rsid w:val="002E75BF"/>
    <w:rsid w:val="002E792F"/>
    <w:rsid w:val="002F0813"/>
    <w:rsid w:val="002F173C"/>
    <w:rsid w:val="002F49BA"/>
    <w:rsid w:val="00300757"/>
    <w:rsid w:val="00300AB2"/>
    <w:rsid w:val="003029F2"/>
    <w:rsid w:val="00303708"/>
    <w:rsid w:val="0031202D"/>
    <w:rsid w:val="00313379"/>
    <w:rsid w:val="00313EB7"/>
    <w:rsid w:val="003151BC"/>
    <w:rsid w:val="00315EF4"/>
    <w:rsid w:val="00316821"/>
    <w:rsid w:val="00322F94"/>
    <w:rsid w:val="00323055"/>
    <w:rsid w:val="003269F0"/>
    <w:rsid w:val="00327341"/>
    <w:rsid w:val="0033015B"/>
    <w:rsid w:val="003350ED"/>
    <w:rsid w:val="00335B1B"/>
    <w:rsid w:val="00336E45"/>
    <w:rsid w:val="00336EC0"/>
    <w:rsid w:val="00337B1E"/>
    <w:rsid w:val="00340F26"/>
    <w:rsid w:val="00344CCB"/>
    <w:rsid w:val="00346B7E"/>
    <w:rsid w:val="00346C91"/>
    <w:rsid w:val="003476B8"/>
    <w:rsid w:val="003530D9"/>
    <w:rsid w:val="00353E1A"/>
    <w:rsid w:val="00356150"/>
    <w:rsid w:val="0035625E"/>
    <w:rsid w:val="00357BDB"/>
    <w:rsid w:val="003608EC"/>
    <w:rsid w:val="00362201"/>
    <w:rsid w:val="003635F4"/>
    <w:rsid w:val="00363F33"/>
    <w:rsid w:val="00365CB6"/>
    <w:rsid w:val="00366FAE"/>
    <w:rsid w:val="00367069"/>
    <w:rsid w:val="003671F3"/>
    <w:rsid w:val="00370DEA"/>
    <w:rsid w:val="003710B5"/>
    <w:rsid w:val="003711D4"/>
    <w:rsid w:val="00371F8B"/>
    <w:rsid w:val="00375596"/>
    <w:rsid w:val="0037579A"/>
    <w:rsid w:val="00380281"/>
    <w:rsid w:val="0038270D"/>
    <w:rsid w:val="003838CF"/>
    <w:rsid w:val="00383CED"/>
    <w:rsid w:val="00384318"/>
    <w:rsid w:val="0038631B"/>
    <w:rsid w:val="003A3D79"/>
    <w:rsid w:val="003A5A99"/>
    <w:rsid w:val="003A6438"/>
    <w:rsid w:val="003A7455"/>
    <w:rsid w:val="003A79A4"/>
    <w:rsid w:val="003C042C"/>
    <w:rsid w:val="003C05AE"/>
    <w:rsid w:val="003C4E9B"/>
    <w:rsid w:val="003C5768"/>
    <w:rsid w:val="003C76CA"/>
    <w:rsid w:val="003D0913"/>
    <w:rsid w:val="003D1C5F"/>
    <w:rsid w:val="003D1D46"/>
    <w:rsid w:val="003D29B9"/>
    <w:rsid w:val="003D7B42"/>
    <w:rsid w:val="003E08D3"/>
    <w:rsid w:val="003E3287"/>
    <w:rsid w:val="003E3D77"/>
    <w:rsid w:val="003E442D"/>
    <w:rsid w:val="003F1930"/>
    <w:rsid w:val="003F59A2"/>
    <w:rsid w:val="003F6591"/>
    <w:rsid w:val="00401741"/>
    <w:rsid w:val="00401EB3"/>
    <w:rsid w:val="00404A6C"/>
    <w:rsid w:val="00404B75"/>
    <w:rsid w:val="004054F3"/>
    <w:rsid w:val="0041209D"/>
    <w:rsid w:val="004127C1"/>
    <w:rsid w:val="004133C2"/>
    <w:rsid w:val="00415C3B"/>
    <w:rsid w:val="00417A7E"/>
    <w:rsid w:val="004214DC"/>
    <w:rsid w:val="00421702"/>
    <w:rsid w:val="00421866"/>
    <w:rsid w:val="004237EC"/>
    <w:rsid w:val="0043036F"/>
    <w:rsid w:val="00431867"/>
    <w:rsid w:val="00431B5B"/>
    <w:rsid w:val="00431BB0"/>
    <w:rsid w:val="0044060D"/>
    <w:rsid w:val="00440AFB"/>
    <w:rsid w:val="00441613"/>
    <w:rsid w:val="00441EC3"/>
    <w:rsid w:val="00442056"/>
    <w:rsid w:val="004421B8"/>
    <w:rsid w:val="00445B71"/>
    <w:rsid w:val="004501B3"/>
    <w:rsid w:val="00452483"/>
    <w:rsid w:val="0045412C"/>
    <w:rsid w:val="00457E23"/>
    <w:rsid w:val="004611BC"/>
    <w:rsid w:val="004638F2"/>
    <w:rsid w:val="004703F9"/>
    <w:rsid w:val="004716C2"/>
    <w:rsid w:val="00471815"/>
    <w:rsid w:val="00471A49"/>
    <w:rsid w:val="0047211A"/>
    <w:rsid w:val="004724EE"/>
    <w:rsid w:val="00472836"/>
    <w:rsid w:val="0047324A"/>
    <w:rsid w:val="0047356A"/>
    <w:rsid w:val="004757C0"/>
    <w:rsid w:val="004767C6"/>
    <w:rsid w:val="004774DB"/>
    <w:rsid w:val="00477E0A"/>
    <w:rsid w:val="00480954"/>
    <w:rsid w:val="00483C25"/>
    <w:rsid w:val="00484355"/>
    <w:rsid w:val="004845C8"/>
    <w:rsid w:val="00487FE2"/>
    <w:rsid w:val="00490104"/>
    <w:rsid w:val="00492D69"/>
    <w:rsid w:val="0049382B"/>
    <w:rsid w:val="00494713"/>
    <w:rsid w:val="004A1B0D"/>
    <w:rsid w:val="004A3712"/>
    <w:rsid w:val="004A4CD3"/>
    <w:rsid w:val="004A5DCF"/>
    <w:rsid w:val="004B3F77"/>
    <w:rsid w:val="004B592F"/>
    <w:rsid w:val="004B697D"/>
    <w:rsid w:val="004C2A37"/>
    <w:rsid w:val="004C5899"/>
    <w:rsid w:val="004C5C99"/>
    <w:rsid w:val="004C7D52"/>
    <w:rsid w:val="004D39E7"/>
    <w:rsid w:val="004D4303"/>
    <w:rsid w:val="004D45BE"/>
    <w:rsid w:val="004D4B91"/>
    <w:rsid w:val="004D6730"/>
    <w:rsid w:val="004E02FF"/>
    <w:rsid w:val="004E1711"/>
    <w:rsid w:val="004E2EBD"/>
    <w:rsid w:val="004E302C"/>
    <w:rsid w:val="004E32FA"/>
    <w:rsid w:val="004E525C"/>
    <w:rsid w:val="004F11A3"/>
    <w:rsid w:val="004F34DC"/>
    <w:rsid w:val="004F641E"/>
    <w:rsid w:val="004F6B37"/>
    <w:rsid w:val="00504021"/>
    <w:rsid w:val="00504757"/>
    <w:rsid w:val="00505331"/>
    <w:rsid w:val="00507E62"/>
    <w:rsid w:val="005153DA"/>
    <w:rsid w:val="00517B4C"/>
    <w:rsid w:val="00520CF5"/>
    <w:rsid w:val="00521A9C"/>
    <w:rsid w:val="0053231C"/>
    <w:rsid w:val="0053538E"/>
    <w:rsid w:val="005414AE"/>
    <w:rsid w:val="00542340"/>
    <w:rsid w:val="005446E1"/>
    <w:rsid w:val="005534DB"/>
    <w:rsid w:val="00557EDE"/>
    <w:rsid w:val="005610D1"/>
    <w:rsid w:val="005677D2"/>
    <w:rsid w:val="00571A6D"/>
    <w:rsid w:val="00572B58"/>
    <w:rsid w:val="00575A5B"/>
    <w:rsid w:val="00575B53"/>
    <w:rsid w:val="00575D61"/>
    <w:rsid w:val="00576350"/>
    <w:rsid w:val="005813C5"/>
    <w:rsid w:val="005816F3"/>
    <w:rsid w:val="00582179"/>
    <w:rsid w:val="005833F4"/>
    <w:rsid w:val="0058680A"/>
    <w:rsid w:val="005876F5"/>
    <w:rsid w:val="00590A74"/>
    <w:rsid w:val="00590F2C"/>
    <w:rsid w:val="00592420"/>
    <w:rsid w:val="00592ED0"/>
    <w:rsid w:val="005934E6"/>
    <w:rsid w:val="00593C83"/>
    <w:rsid w:val="00596FDF"/>
    <w:rsid w:val="005A3F01"/>
    <w:rsid w:val="005A6F21"/>
    <w:rsid w:val="005A7C92"/>
    <w:rsid w:val="005B152C"/>
    <w:rsid w:val="005C04AF"/>
    <w:rsid w:val="005C09E5"/>
    <w:rsid w:val="005C24AD"/>
    <w:rsid w:val="005C4C06"/>
    <w:rsid w:val="005C4F2C"/>
    <w:rsid w:val="005C51E7"/>
    <w:rsid w:val="005C58E7"/>
    <w:rsid w:val="005C63D5"/>
    <w:rsid w:val="005C66B7"/>
    <w:rsid w:val="005C7421"/>
    <w:rsid w:val="005C74D9"/>
    <w:rsid w:val="005C7D7F"/>
    <w:rsid w:val="005D08C8"/>
    <w:rsid w:val="005D08DB"/>
    <w:rsid w:val="005D5FA8"/>
    <w:rsid w:val="005E091D"/>
    <w:rsid w:val="005E1146"/>
    <w:rsid w:val="005E330A"/>
    <w:rsid w:val="005E4605"/>
    <w:rsid w:val="005E4B47"/>
    <w:rsid w:val="005F3830"/>
    <w:rsid w:val="005F4D5D"/>
    <w:rsid w:val="006010D3"/>
    <w:rsid w:val="00601BB5"/>
    <w:rsid w:val="00603E78"/>
    <w:rsid w:val="00612F42"/>
    <w:rsid w:val="00614EDF"/>
    <w:rsid w:val="00615089"/>
    <w:rsid w:val="00615B38"/>
    <w:rsid w:val="00615CED"/>
    <w:rsid w:val="006206B3"/>
    <w:rsid w:val="00621CB9"/>
    <w:rsid w:val="00622229"/>
    <w:rsid w:val="006225C9"/>
    <w:rsid w:val="00622644"/>
    <w:rsid w:val="006276E3"/>
    <w:rsid w:val="006303E3"/>
    <w:rsid w:val="00630E13"/>
    <w:rsid w:val="00631ED9"/>
    <w:rsid w:val="00634D1D"/>
    <w:rsid w:val="00634F63"/>
    <w:rsid w:val="006353A7"/>
    <w:rsid w:val="006377DB"/>
    <w:rsid w:val="00640BD8"/>
    <w:rsid w:val="0064480F"/>
    <w:rsid w:val="00644D74"/>
    <w:rsid w:val="0064504D"/>
    <w:rsid w:val="0064732B"/>
    <w:rsid w:val="006479CD"/>
    <w:rsid w:val="00651EDE"/>
    <w:rsid w:val="00656F7F"/>
    <w:rsid w:val="006604AA"/>
    <w:rsid w:val="00660F89"/>
    <w:rsid w:val="00662D89"/>
    <w:rsid w:val="0066376A"/>
    <w:rsid w:val="006646BA"/>
    <w:rsid w:val="00665240"/>
    <w:rsid w:val="0067017A"/>
    <w:rsid w:val="00670664"/>
    <w:rsid w:val="0067079A"/>
    <w:rsid w:val="006709FA"/>
    <w:rsid w:val="00671FBC"/>
    <w:rsid w:val="006733C7"/>
    <w:rsid w:val="006757EF"/>
    <w:rsid w:val="0067716C"/>
    <w:rsid w:val="0068577C"/>
    <w:rsid w:val="00685830"/>
    <w:rsid w:val="0068729A"/>
    <w:rsid w:val="00687598"/>
    <w:rsid w:val="00687638"/>
    <w:rsid w:val="00695026"/>
    <w:rsid w:val="00695F17"/>
    <w:rsid w:val="0069719C"/>
    <w:rsid w:val="006973EF"/>
    <w:rsid w:val="006A056E"/>
    <w:rsid w:val="006A62AC"/>
    <w:rsid w:val="006A6DB6"/>
    <w:rsid w:val="006B1CAE"/>
    <w:rsid w:val="006B272F"/>
    <w:rsid w:val="006B31DF"/>
    <w:rsid w:val="006B325C"/>
    <w:rsid w:val="006B52B7"/>
    <w:rsid w:val="006C1C45"/>
    <w:rsid w:val="006C3921"/>
    <w:rsid w:val="006C4D48"/>
    <w:rsid w:val="006C6332"/>
    <w:rsid w:val="006D1EA6"/>
    <w:rsid w:val="006D2522"/>
    <w:rsid w:val="006D3CE0"/>
    <w:rsid w:val="006D592D"/>
    <w:rsid w:val="006D6F73"/>
    <w:rsid w:val="006E70E0"/>
    <w:rsid w:val="006F0D9E"/>
    <w:rsid w:val="006F45EA"/>
    <w:rsid w:val="007008F1"/>
    <w:rsid w:val="007025BD"/>
    <w:rsid w:val="00706791"/>
    <w:rsid w:val="00707CE6"/>
    <w:rsid w:val="007153E0"/>
    <w:rsid w:val="00716885"/>
    <w:rsid w:val="00717257"/>
    <w:rsid w:val="00725250"/>
    <w:rsid w:val="00730084"/>
    <w:rsid w:val="00730501"/>
    <w:rsid w:val="00736344"/>
    <w:rsid w:val="00742624"/>
    <w:rsid w:val="00743DCE"/>
    <w:rsid w:val="00746AB9"/>
    <w:rsid w:val="007475CF"/>
    <w:rsid w:val="00751E68"/>
    <w:rsid w:val="00756390"/>
    <w:rsid w:val="00757975"/>
    <w:rsid w:val="007633A0"/>
    <w:rsid w:val="00767D39"/>
    <w:rsid w:val="00770668"/>
    <w:rsid w:val="0077097A"/>
    <w:rsid w:val="00770D67"/>
    <w:rsid w:val="00771070"/>
    <w:rsid w:val="00771CC1"/>
    <w:rsid w:val="00771CC6"/>
    <w:rsid w:val="007735B2"/>
    <w:rsid w:val="00773741"/>
    <w:rsid w:val="00775BB7"/>
    <w:rsid w:val="007768FD"/>
    <w:rsid w:val="00780031"/>
    <w:rsid w:val="00782B28"/>
    <w:rsid w:val="00784E08"/>
    <w:rsid w:val="00786AAD"/>
    <w:rsid w:val="0079230F"/>
    <w:rsid w:val="0079475E"/>
    <w:rsid w:val="00794C62"/>
    <w:rsid w:val="007A0BB0"/>
    <w:rsid w:val="007A0CC6"/>
    <w:rsid w:val="007A150A"/>
    <w:rsid w:val="007A78EB"/>
    <w:rsid w:val="007B23EF"/>
    <w:rsid w:val="007B45C5"/>
    <w:rsid w:val="007B47C6"/>
    <w:rsid w:val="007B52B1"/>
    <w:rsid w:val="007C24EB"/>
    <w:rsid w:val="007C4341"/>
    <w:rsid w:val="007C79C4"/>
    <w:rsid w:val="007C7F27"/>
    <w:rsid w:val="007D0E34"/>
    <w:rsid w:val="007D0E75"/>
    <w:rsid w:val="007D1C11"/>
    <w:rsid w:val="007D63F2"/>
    <w:rsid w:val="007D6C54"/>
    <w:rsid w:val="007D71F0"/>
    <w:rsid w:val="007D7F92"/>
    <w:rsid w:val="007E03C2"/>
    <w:rsid w:val="007E1F95"/>
    <w:rsid w:val="007E2638"/>
    <w:rsid w:val="007E2831"/>
    <w:rsid w:val="007E4645"/>
    <w:rsid w:val="007E7945"/>
    <w:rsid w:val="007F344F"/>
    <w:rsid w:val="007F3CC6"/>
    <w:rsid w:val="007F3D7B"/>
    <w:rsid w:val="007F44D3"/>
    <w:rsid w:val="007F4864"/>
    <w:rsid w:val="007F4E50"/>
    <w:rsid w:val="007F5B94"/>
    <w:rsid w:val="007F6375"/>
    <w:rsid w:val="007F6F81"/>
    <w:rsid w:val="00800491"/>
    <w:rsid w:val="00802544"/>
    <w:rsid w:val="00802786"/>
    <w:rsid w:val="00804222"/>
    <w:rsid w:val="00810B85"/>
    <w:rsid w:val="0081304F"/>
    <w:rsid w:val="008147FA"/>
    <w:rsid w:val="00814E91"/>
    <w:rsid w:val="00817A31"/>
    <w:rsid w:val="00821D34"/>
    <w:rsid w:val="0082252D"/>
    <w:rsid w:val="00824882"/>
    <w:rsid w:val="00826268"/>
    <w:rsid w:val="008263E6"/>
    <w:rsid w:val="00830EF8"/>
    <w:rsid w:val="00831F26"/>
    <w:rsid w:val="00832D45"/>
    <w:rsid w:val="00833DBE"/>
    <w:rsid w:val="00835207"/>
    <w:rsid w:val="00835CA8"/>
    <w:rsid w:val="008379E6"/>
    <w:rsid w:val="00840D79"/>
    <w:rsid w:val="00842CB8"/>
    <w:rsid w:val="0084477B"/>
    <w:rsid w:val="00853AF5"/>
    <w:rsid w:val="00853C46"/>
    <w:rsid w:val="008548BD"/>
    <w:rsid w:val="00857164"/>
    <w:rsid w:val="00860FBD"/>
    <w:rsid w:val="0086154C"/>
    <w:rsid w:val="00863C2F"/>
    <w:rsid w:val="00865F8D"/>
    <w:rsid w:val="008661B4"/>
    <w:rsid w:val="008707F6"/>
    <w:rsid w:val="00872962"/>
    <w:rsid w:val="00872CE2"/>
    <w:rsid w:val="00875FB0"/>
    <w:rsid w:val="0087FAC7"/>
    <w:rsid w:val="00881DB8"/>
    <w:rsid w:val="008828FC"/>
    <w:rsid w:val="00882918"/>
    <w:rsid w:val="00885DB6"/>
    <w:rsid w:val="00886124"/>
    <w:rsid w:val="008879E1"/>
    <w:rsid w:val="008903F6"/>
    <w:rsid w:val="008911CA"/>
    <w:rsid w:val="008937B3"/>
    <w:rsid w:val="008946D1"/>
    <w:rsid w:val="00895B5E"/>
    <w:rsid w:val="008A08DE"/>
    <w:rsid w:val="008A16C7"/>
    <w:rsid w:val="008A1841"/>
    <w:rsid w:val="008A2699"/>
    <w:rsid w:val="008B052F"/>
    <w:rsid w:val="008B19FA"/>
    <w:rsid w:val="008B1F52"/>
    <w:rsid w:val="008B59D3"/>
    <w:rsid w:val="008B717D"/>
    <w:rsid w:val="008B74B0"/>
    <w:rsid w:val="008B7550"/>
    <w:rsid w:val="008C25BE"/>
    <w:rsid w:val="008C3FAB"/>
    <w:rsid w:val="008C7923"/>
    <w:rsid w:val="008D073D"/>
    <w:rsid w:val="008D16F7"/>
    <w:rsid w:val="008D16FA"/>
    <w:rsid w:val="008D22AC"/>
    <w:rsid w:val="008D61AA"/>
    <w:rsid w:val="008E05B1"/>
    <w:rsid w:val="008E102C"/>
    <w:rsid w:val="008E416D"/>
    <w:rsid w:val="008E4776"/>
    <w:rsid w:val="008F1848"/>
    <w:rsid w:val="008F6E2D"/>
    <w:rsid w:val="008F7BFE"/>
    <w:rsid w:val="00900066"/>
    <w:rsid w:val="009003FE"/>
    <w:rsid w:val="009019CA"/>
    <w:rsid w:val="009025E3"/>
    <w:rsid w:val="00904DBA"/>
    <w:rsid w:val="0091053B"/>
    <w:rsid w:val="00912212"/>
    <w:rsid w:val="009149AC"/>
    <w:rsid w:val="009158AB"/>
    <w:rsid w:val="009161DD"/>
    <w:rsid w:val="00922FAA"/>
    <w:rsid w:val="00923B37"/>
    <w:rsid w:val="00925760"/>
    <w:rsid w:val="00926891"/>
    <w:rsid w:val="00933159"/>
    <w:rsid w:val="00936C83"/>
    <w:rsid w:val="00936D2A"/>
    <w:rsid w:val="00941913"/>
    <w:rsid w:val="00943CF2"/>
    <w:rsid w:val="0094436B"/>
    <w:rsid w:val="00946592"/>
    <w:rsid w:val="00950EBF"/>
    <w:rsid w:val="00951848"/>
    <w:rsid w:val="0095238C"/>
    <w:rsid w:val="00952CEF"/>
    <w:rsid w:val="00952DE3"/>
    <w:rsid w:val="00953E8C"/>
    <w:rsid w:val="00957681"/>
    <w:rsid w:val="009625AA"/>
    <w:rsid w:val="00962A03"/>
    <w:rsid w:val="00964654"/>
    <w:rsid w:val="00966C89"/>
    <w:rsid w:val="009672E8"/>
    <w:rsid w:val="009703A2"/>
    <w:rsid w:val="00970D2A"/>
    <w:rsid w:val="009712CF"/>
    <w:rsid w:val="009720AB"/>
    <w:rsid w:val="00972896"/>
    <w:rsid w:val="00972C60"/>
    <w:rsid w:val="009764C3"/>
    <w:rsid w:val="00981E8A"/>
    <w:rsid w:val="0098248E"/>
    <w:rsid w:val="0098340E"/>
    <w:rsid w:val="00983457"/>
    <w:rsid w:val="0098430A"/>
    <w:rsid w:val="00985EDD"/>
    <w:rsid w:val="00985FF6"/>
    <w:rsid w:val="0099243F"/>
    <w:rsid w:val="009924B5"/>
    <w:rsid w:val="00992756"/>
    <w:rsid w:val="009A03EA"/>
    <w:rsid w:val="009A1AF3"/>
    <w:rsid w:val="009A416B"/>
    <w:rsid w:val="009A643C"/>
    <w:rsid w:val="009A6467"/>
    <w:rsid w:val="009A6A57"/>
    <w:rsid w:val="009B08FF"/>
    <w:rsid w:val="009B1CE2"/>
    <w:rsid w:val="009B3FE1"/>
    <w:rsid w:val="009B71B6"/>
    <w:rsid w:val="009B73CB"/>
    <w:rsid w:val="009B7437"/>
    <w:rsid w:val="009C04F0"/>
    <w:rsid w:val="009C2E4D"/>
    <w:rsid w:val="009C3C68"/>
    <w:rsid w:val="009D2170"/>
    <w:rsid w:val="009D22AA"/>
    <w:rsid w:val="009D3E91"/>
    <w:rsid w:val="009D4050"/>
    <w:rsid w:val="009D4A92"/>
    <w:rsid w:val="009D7154"/>
    <w:rsid w:val="009D7BF8"/>
    <w:rsid w:val="009E1546"/>
    <w:rsid w:val="009E1556"/>
    <w:rsid w:val="009E2C4B"/>
    <w:rsid w:val="009E7265"/>
    <w:rsid w:val="009E7A43"/>
    <w:rsid w:val="009F329D"/>
    <w:rsid w:val="009F5BC2"/>
    <w:rsid w:val="009F6A26"/>
    <w:rsid w:val="00A00C29"/>
    <w:rsid w:val="00A02228"/>
    <w:rsid w:val="00A02650"/>
    <w:rsid w:val="00A055D8"/>
    <w:rsid w:val="00A07889"/>
    <w:rsid w:val="00A11983"/>
    <w:rsid w:val="00A13B3A"/>
    <w:rsid w:val="00A15FF7"/>
    <w:rsid w:val="00A2387E"/>
    <w:rsid w:val="00A25BCA"/>
    <w:rsid w:val="00A27F74"/>
    <w:rsid w:val="00A327C4"/>
    <w:rsid w:val="00A364FA"/>
    <w:rsid w:val="00A379E7"/>
    <w:rsid w:val="00A40FD1"/>
    <w:rsid w:val="00A424A0"/>
    <w:rsid w:val="00A449CB"/>
    <w:rsid w:val="00A450EC"/>
    <w:rsid w:val="00A46758"/>
    <w:rsid w:val="00A47ED0"/>
    <w:rsid w:val="00A50452"/>
    <w:rsid w:val="00A50A7B"/>
    <w:rsid w:val="00A547CB"/>
    <w:rsid w:val="00A565DC"/>
    <w:rsid w:val="00A6449A"/>
    <w:rsid w:val="00A64509"/>
    <w:rsid w:val="00A6592E"/>
    <w:rsid w:val="00A708E2"/>
    <w:rsid w:val="00A70A65"/>
    <w:rsid w:val="00A71182"/>
    <w:rsid w:val="00A7198F"/>
    <w:rsid w:val="00A74A49"/>
    <w:rsid w:val="00A7627E"/>
    <w:rsid w:val="00A87AFC"/>
    <w:rsid w:val="00A95693"/>
    <w:rsid w:val="00A967C9"/>
    <w:rsid w:val="00A96FF9"/>
    <w:rsid w:val="00AA0586"/>
    <w:rsid w:val="00AA1125"/>
    <w:rsid w:val="00AA3583"/>
    <w:rsid w:val="00AA4455"/>
    <w:rsid w:val="00AA4A0F"/>
    <w:rsid w:val="00AA512B"/>
    <w:rsid w:val="00AA5A35"/>
    <w:rsid w:val="00AB2C1E"/>
    <w:rsid w:val="00AB3493"/>
    <w:rsid w:val="00AB4836"/>
    <w:rsid w:val="00AB725A"/>
    <w:rsid w:val="00AC06AD"/>
    <w:rsid w:val="00AC29F5"/>
    <w:rsid w:val="00AC50D4"/>
    <w:rsid w:val="00AC731C"/>
    <w:rsid w:val="00AE1A7E"/>
    <w:rsid w:val="00AE2518"/>
    <w:rsid w:val="00AE3FD9"/>
    <w:rsid w:val="00AF23F6"/>
    <w:rsid w:val="00AF50EA"/>
    <w:rsid w:val="00AF5207"/>
    <w:rsid w:val="00AF5E6F"/>
    <w:rsid w:val="00AF6133"/>
    <w:rsid w:val="00AF77DD"/>
    <w:rsid w:val="00B00D67"/>
    <w:rsid w:val="00B05977"/>
    <w:rsid w:val="00B05A4E"/>
    <w:rsid w:val="00B05C8D"/>
    <w:rsid w:val="00B1040D"/>
    <w:rsid w:val="00B10A89"/>
    <w:rsid w:val="00B10AD9"/>
    <w:rsid w:val="00B124C7"/>
    <w:rsid w:val="00B137F3"/>
    <w:rsid w:val="00B13F96"/>
    <w:rsid w:val="00B14DED"/>
    <w:rsid w:val="00B15145"/>
    <w:rsid w:val="00B16967"/>
    <w:rsid w:val="00B170EA"/>
    <w:rsid w:val="00B2224D"/>
    <w:rsid w:val="00B2244C"/>
    <w:rsid w:val="00B225FC"/>
    <w:rsid w:val="00B319A8"/>
    <w:rsid w:val="00B3458E"/>
    <w:rsid w:val="00B34DF9"/>
    <w:rsid w:val="00B42060"/>
    <w:rsid w:val="00B4766E"/>
    <w:rsid w:val="00B538F7"/>
    <w:rsid w:val="00B53D08"/>
    <w:rsid w:val="00B54B92"/>
    <w:rsid w:val="00B55116"/>
    <w:rsid w:val="00B553A6"/>
    <w:rsid w:val="00B57A8F"/>
    <w:rsid w:val="00B62ACD"/>
    <w:rsid w:val="00B63124"/>
    <w:rsid w:val="00B67F31"/>
    <w:rsid w:val="00B70FB5"/>
    <w:rsid w:val="00B711AF"/>
    <w:rsid w:val="00B733FF"/>
    <w:rsid w:val="00B7751F"/>
    <w:rsid w:val="00B77705"/>
    <w:rsid w:val="00B77A77"/>
    <w:rsid w:val="00B801BD"/>
    <w:rsid w:val="00B80A82"/>
    <w:rsid w:val="00B81A63"/>
    <w:rsid w:val="00B81F3C"/>
    <w:rsid w:val="00B833B4"/>
    <w:rsid w:val="00B83EDC"/>
    <w:rsid w:val="00B83EF3"/>
    <w:rsid w:val="00B862C6"/>
    <w:rsid w:val="00B86EE0"/>
    <w:rsid w:val="00B92791"/>
    <w:rsid w:val="00B9407F"/>
    <w:rsid w:val="00B941FC"/>
    <w:rsid w:val="00B956F7"/>
    <w:rsid w:val="00B96885"/>
    <w:rsid w:val="00B97076"/>
    <w:rsid w:val="00B974D8"/>
    <w:rsid w:val="00B977C7"/>
    <w:rsid w:val="00BA0E84"/>
    <w:rsid w:val="00BA2509"/>
    <w:rsid w:val="00BA339B"/>
    <w:rsid w:val="00BA4910"/>
    <w:rsid w:val="00BA4C7C"/>
    <w:rsid w:val="00BA5320"/>
    <w:rsid w:val="00BB1431"/>
    <w:rsid w:val="00BB18D1"/>
    <w:rsid w:val="00BB2119"/>
    <w:rsid w:val="00BB2E10"/>
    <w:rsid w:val="00BB3A9E"/>
    <w:rsid w:val="00BB5C78"/>
    <w:rsid w:val="00BB7DFC"/>
    <w:rsid w:val="00BC06AA"/>
    <w:rsid w:val="00BC1FEB"/>
    <w:rsid w:val="00BC331D"/>
    <w:rsid w:val="00BC38A4"/>
    <w:rsid w:val="00BC43E4"/>
    <w:rsid w:val="00BC6954"/>
    <w:rsid w:val="00BC7DFF"/>
    <w:rsid w:val="00BD22C3"/>
    <w:rsid w:val="00BD53E1"/>
    <w:rsid w:val="00BD6AE3"/>
    <w:rsid w:val="00BD74CA"/>
    <w:rsid w:val="00BE0911"/>
    <w:rsid w:val="00BE4030"/>
    <w:rsid w:val="00BE4D6A"/>
    <w:rsid w:val="00BE525F"/>
    <w:rsid w:val="00BE67DC"/>
    <w:rsid w:val="00BF04CB"/>
    <w:rsid w:val="00BF16CA"/>
    <w:rsid w:val="00BF2E1C"/>
    <w:rsid w:val="00BF3A46"/>
    <w:rsid w:val="00BF3C65"/>
    <w:rsid w:val="00BF3F58"/>
    <w:rsid w:val="00BF6D73"/>
    <w:rsid w:val="00BF73CF"/>
    <w:rsid w:val="00BF7521"/>
    <w:rsid w:val="00BF7D0B"/>
    <w:rsid w:val="00C0022E"/>
    <w:rsid w:val="00C00872"/>
    <w:rsid w:val="00C00E68"/>
    <w:rsid w:val="00C020EE"/>
    <w:rsid w:val="00C0293B"/>
    <w:rsid w:val="00C0369B"/>
    <w:rsid w:val="00C03BE5"/>
    <w:rsid w:val="00C043F1"/>
    <w:rsid w:val="00C04C8E"/>
    <w:rsid w:val="00C10048"/>
    <w:rsid w:val="00C10534"/>
    <w:rsid w:val="00C11413"/>
    <w:rsid w:val="00C12250"/>
    <w:rsid w:val="00C12CDC"/>
    <w:rsid w:val="00C14D36"/>
    <w:rsid w:val="00C15BD5"/>
    <w:rsid w:val="00C169A3"/>
    <w:rsid w:val="00C1708E"/>
    <w:rsid w:val="00C208DC"/>
    <w:rsid w:val="00C224E3"/>
    <w:rsid w:val="00C2260D"/>
    <w:rsid w:val="00C22BDF"/>
    <w:rsid w:val="00C255FE"/>
    <w:rsid w:val="00C260A8"/>
    <w:rsid w:val="00C26265"/>
    <w:rsid w:val="00C26DD3"/>
    <w:rsid w:val="00C2719A"/>
    <w:rsid w:val="00C2759C"/>
    <w:rsid w:val="00C27684"/>
    <w:rsid w:val="00C2770E"/>
    <w:rsid w:val="00C322D8"/>
    <w:rsid w:val="00C344C5"/>
    <w:rsid w:val="00C36704"/>
    <w:rsid w:val="00C41E17"/>
    <w:rsid w:val="00C4283A"/>
    <w:rsid w:val="00C472B7"/>
    <w:rsid w:val="00C47D3A"/>
    <w:rsid w:val="00C52ACF"/>
    <w:rsid w:val="00C53C3A"/>
    <w:rsid w:val="00C56A5A"/>
    <w:rsid w:val="00C56F20"/>
    <w:rsid w:val="00C57138"/>
    <w:rsid w:val="00C61DC7"/>
    <w:rsid w:val="00C638EF"/>
    <w:rsid w:val="00C64148"/>
    <w:rsid w:val="00C646D9"/>
    <w:rsid w:val="00C65BFC"/>
    <w:rsid w:val="00C66346"/>
    <w:rsid w:val="00C71063"/>
    <w:rsid w:val="00C715B1"/>
    <w:rsid w:val="00C72594"/>
    <w:rsid w:val="00C7403B"/>
    <w:rsid w:val="00C74DE3"/>
    <w:rsid w:val="00C7626B"/>
    <w:rsid w:val="00C7709A"/>
    <w:rsid w:val="00C7AEF3"/>
    <w:rsid w:val="00C8001B"/>
    <w:rsid w:val="00C8089D"/>
    <w:rsid w:val="00C80C60"/>
    <w:rsid w:val="00C86D9C"/>
    <w:rsid w:val="00C92F45"/>
    <w:rsid w:val="00C93416"/>
    <w:rsid w:val="00C9385C"/>
    <w:rsid w:val="00C9584D"/>
    <w:rsid w:val="00CA4364"/>
    <w:rsid w:val="00CA53A4"/>
    <w:rsid w:val="00CA5D1A"/>
    <w:rsid w:val="00CA6CE9"/>
    <w:rsid w:val="00CB0DEE"/>
    <w:rsid w:val="00CB10B2"/>
    <w:rsid w:val="00CB2A0B"/>
    <w:rsid w:val="00CB789A"/>
    <w:rsid w:val="00CB7D6C"/>
    <w:rsid w:val="00CC1A20"/>
    <w:rsid w:val="00CC3303"/>
    <w:rsid w:val="00CC3AC2"/>
    <w:rsid w:val="00CC5979"/>
    <w:rsid w:val="00CC6BE1"/>
    <w:rsid w:val="00CC7A35"/>
    <w:rsid w:val="00CD0983"/>
    <w:rsid w:val="00CD1835"/>
    <w:rsid w:val="00CD2E1C"/>
    <w:rsid w:val="00CD4EBB"/>
    <w:rsid w:val="00CD581A"/>
    <w:rsid w:val="00CD5A6A"/>
    <w:rsid w:val="00CD6B53"/>
    <w:rsid w:val="00CD7878"/>
    <w:rsid w:val="00CD7B48"/>
    <w:rsid w:val="00CE0CBC"/>
    <w:rsid w:val="00CE4105"/>
    <w:rsid w:val="00CE7AE4"/>
    <w:rsid w:val="00CF247E"/>
    <w:rsid w:val="00CF3A93"/>
    <w:rsid w:val="00CF531C"/>
    <w:rsid w:val="00CF5847"/>
    <w:rsid w:val="00CF5FAA"/>
    <w:rsid w:val="00CF60BB"/>
    <w:rsid w:val="00CF6286"/>
    <w:rsid w:val="00CF7008"/>
    <w:rsid w:val="00CF78B2"/>
    <w:rsid w:val="00D00B2C"/>
    <w:rsid w:val="00D0281C"/>
    <w:rsid w:val="00D02AA0"/>
    <w:rsid w:val="00D044E8"/>
    <w:rsid w:val="00D06256"/>
    <w:rsid w:val="00D12722"/>
    <w:rsid w:val="00D136F8"/>
    <w:rsid w:val="00D13E7B"/>
    <w:rsid w:val="00D173FE"/>
    <w:rsid w:val="00D17439"/>
    <w:rsid w:val="00D17E3D"/>
    <w:rsid w:val="00D17FA1"/>
    <w:rsid w:val="00D213A7"/>
    <w:rsid w:val="00D228C3"/>
    <w:rsid w:val="00D239A6"/>
    <w:rsid w:val="00D241C2"/>
    <w:rsid w:val="00D27154"/>
    <w:rsid w:val="00D329EF"/>
    <w:rsid w:val="00D33162"/>
    <w:rsid w:val="00D336B8"/>
    <w:rsid w:val="00D35D3B"/>
    <w:rsid w:val="00D367C9"/>
    <w:rsid w:val="00D445C9"/>
    <w:rsid w:val="00D51084"/>
    <w:rsid w:val="00D5279B"/>
    <w:rsid w:val="00D54C4C"/>
    <w:rsid w:val="00D56B76"/>
    <w:rsid w:val="00D60D13"/>
    <w:rsid w:val="00D6223F"/>
    <w:rsid w:val="00D65DD6"/>
    <w:rsid w:val="00D67299"/>
    <w:rsid w:val="00D71578"/>
    <w:rsid w:val="00D7585C"/>
    <w:rsid w:val="00D75FC2"/>
    <w:rsid w:val="00D803C2"/>
    <w:rsid w:val="00D80D73"/>
    <w:rsid w:val="00D812EC"/>
    <w:rsid w:val="00D91268"/>
    <w:rsid w:val="00D9430D"/>
    <w:rsid w:val="00D94C21"/>
    <w:rsid w:val="00D97C4A"/>
    <w:rsid w:val="00DA0151"/>
    <w:rsid w:val="00DA40B7"/>
    <w:rsid w:val="00DA4E8A"/>
    <w:rsid w:val="00DA6A43"/>
    <w:rsid w:val="00DA7B66"/>
    <w:rsid w:val="00DB0CCF"/>
    <w:rsid w:val="00DB11D1"/>
    <w:rsid w:val="00DB16F7"/>
    <w:rsid w:val="00DB1A56"/>
    <w:rsid w:val="00DB48C9"/>
    <w:rsid w:val="00DB4974"/>
    <w:rsid w:val="00DB4A10"/>
    <w:rsid w:val="00DB4F46"/>
    <w:rsid w:val="00DC1365"/>
    <w:rsid w:val="00DC3989"/>
    <w:rsid w:val="00DC3994"/>
    <w:rsid w:val="00DC4B07"/>
    <w:rsid w:val="00DC5699"/>
    <w:rsid w:val="00DC5E75"/>
    <w:rsid w:val="00DC7E52"/>
    <w:rsid w:val="00DD03D6"/>
    <w:rsid w:val="00DD0D58"/>
    <w:rsid w:val="00DD3973"/>
    <w:rsid w:val="00DD4891"/>
    <w:rsid w:val="00DD4CA7"/>
    <w:rsid w:val="00DD4E59"/>
    <w:rsid w:val="00DD5603"/>
    <w:rsid w:val="00DD5BBA"/>
    <w:rsid w:val="00DE0B6A"/>
    <w:rsid w:val="00DE23C1"/>
    <w:rsid w:val="00DE365A"/>
    <w:rsid w:val="00DE7323"/>
    <w:rsid w:val="00DF018F"/>
    <w:rsid w:val="00DF065F"/>
    <w:rsid w:val="00DF16DD"/>
    <w:rsid w:val="00DF7540"/>
    <w:rsid w:val="00E00888"/>
    <w:rsid w:val="00E033F5"/>
    <w:rsid w:val="00E037A1"/>
    <w:rsid w:val="00E03A8E"/>
    <w:rsid w:val="00E03F61"/>
    <w:rsid w:val="00E050DD"/>
    <w:rsid w:val="00E05EDB"/>
    <w:rsid w:val="00E107A8"/>
    <w:rsid w:val="00E10905"/>
    <w:rsid w:val="00E146DB"/>
    <w:rsid w:val="00E16717"/>
    <w:rsid w:val="00E16B34"/>
    <w:rsid w:val="00E174F6"/>
    <w:rsid w:val="00E23518"/>
    <w:rsid w:val="00E23716"/>
    <w:rsid w:val="00E2704A"/>
    <w:rsid w:val="00E27DF4"/>
    <w:rsid w:val="00E30718"/>
    <w:rsid w:val="00E32A44"/>
    <w:rsid w:val="00E338E7"/>
    <w:rsid w:val="00E376F0"/>
    <w:rsid w:val="00E40503"/>
    <w:rsid w:val="00E44D3E"/>
    <w:rsid w:val="00E45403"/>
    <w:rsid w:val="00E45FBB"/>
    <w:rsid w:val="00E51DEA"/>
    <w:rsid w:val="00E51F6E"/>
    <w:rsid w:val="00E54F81"/>
    <w:rsid w:val="00E57EA1"/>
    <w:rsid w:val="00E64F8A"/>
    <w:rsid w:val="00E6644C"/>
    <w:rsid w:val="00E6691D"/>
    <w:rsid w:val="00E7038A"/>
    <w:rsid w:val="00E70FCE"/>
    <w:rsid w:val="00E71E29"/>
    <w:rsid w:val="00E727D9"/>
    <w:rsid w:val="00E768F0"/>
    <w:rsid w:val="00E850F2"/>
    <w:rsid w:val="00E85323"/>
    <w:rsid w:val="00E868DE"/>
    <w:rsid w:val="00E94714"/>
    <w:rsid w:val="00E95881"/>
    <w:rsid w:val="00E97800"/>
    <w:rsid w:val="00EA0EC2"/>
    <w:rsid w:val="00EA1F78"/>
    <w:rsid w:val="00EA3D7F"/>
    <w:rsid w:val="00EA480B"/>
    <w:rsid w:val="00EA762F"/>
    <w:rsid w:val="00EB0265"/>
    <w:rsid w:val="00EB2251"/>
    <w:rsid w:val="00EB35DE"/>
    <w:rsid w:val="00EB3E7F"/>
    <w:rsid w:val="00EB4C7F"/>
    <w:rsid w:val="00EB5919"/>
    <w:rsid w:val="00EB6A5C"/>
    <w:rsid w:val="00EC0D9C"/>
    <w:rsid w:val="00EC2B18"/>
    <w:rsid w:val="00EC344F"/>
    <w:rsid w:val="00EC4973"/>
    <w:rsid w:val="00EC5C4C"/>
    <w:rsid w:val="00EC77BA"/>
    <w:rsid w:val="00EC77F5"/>
    <w:rsid w:val="00EC7DCB"/>
    <w:rsid w:val="00ED26C4"/>
    <w:rsid w:val="00ED6E93"/>
    <w:rsid w:val="00EE0CA9"/>
    <w:rsid w:val="00EE504D"/>
    <w:rsid w:val="00EE7538"/>
    <w:rsid w:val="00EE7AA7"/>
    <w:rsid w:val="00EF1109"/>
    <w:rsid w:val="00EF3219"/>
    <w:rsid w:val="00EF4C24"/>
    <w:rsid w:val="00EF615D"/>
    <w:rsid w:val="00EF781B"/>
    <w:rsid w:val="00F018C9"/>
    <w:rsid w:val="00F047E9"/>
    <w:rsid w:val="00F05C2B"/>
    <w:rsid w:val="00F06293"/>
    <w:rsid w:val="00F06354"/>
    <w:rsid w:val="00F074FE"/>
    <w:rsid w:val="00F07DDA"/>
    <w:rsid w:val="00F10C1C"/>
    <w:rsid w:val="00F11672"/>
    <w:rsid w:val="00F12538"/>
    <w:rsid w:val="00F15CA3"/>
    <w:rsid w:val="00F17CCA"/>
    <w:rsid w:val="00F2098F"/>
    <w:rsid w:val="00F2492F"/>
    <w:rsid w:val="00F24AA4"/>
    <w:rsid w:val="00F25CEF"/>
    <w:rsid w:val="00F3059E"/>
    <w:rsid w:val="00F310BB"/>
    <w:rsid w:val="00F31114"/>
    <w:rsid w:val="00F31DDF"/>
    <w:rsid w:val="00F34357"/>
    <w:rsid w:val="00F40041"/>
    <w:rsid w:val="00F404DC"/>
    <w:rsid w:val="00F44E76"/>
    <w:rsid w:val="00F452F7"/>
    <w:rsid w:val="00F50849"/>
    <w:rsid w:val="00F53ED8"/>
    <w:rsid w:val="00F61EEB"/>
    <w:rsid w:val="00F629AE"/>
    <w:rsid w:val="00F63C92"/>
    <w:rsid w:val="00F64B17"/>
    <w:rsid w:val="00F66684"/>
    <w:rsid w:val="00F741B8"/>
    <w:rsid w:val="00F7431C"/>
    <w:rsid w:val="00F74828"/>
    <w:rsid w:val="00F75EBA"/>
    <w:rsid w:val="00F761DB"/>
    <w:rsid w:val="00F76B70"/>
    <w:rsid w:val="00F77659"/>
    <w:rsid w:val="00F813E1"/>
    <w:rsid w:val="00F83755"/>
    <w:rsid w:val="00F925DE"/>
    <w:rsid w:val="00F95569"/>
    <w:rsid w:val="00F95901"/>
    <w:rsid w:val="00F95A9C"/>
    <w:rsid w:val="00F95DDE"/>
    <w:rsid w:val="00F960C1"/>
    <w:rsid w:val="00F97207"/>
    <w:rsid w:val="00FA163E"/>
    <w:rsid w:val="00FA177A"/>
    <w:rsid w:val="00FA28FD"/>
    <w:rsid w:val="00FB12E4"/>
    <w:rsid w:val="00FB3B3B"/>
    <w:rsid w:val="00FB67AF"/>
    <w:rsid w:val="00FB7109"/>
    <w:rsid w:val="00FB738F"/>
    <w:rsid w:val="00FB7BBA"/>
    <w:rsid w:val="00FC6361"/>
    <w:rsid w:val="00FC7080"/>
    <w:rsid w:val="00FC7698"/>
    <w:rsid w:val="00FC7AD6"/>
    <w:rsid w:val="00FD0AA1"/>
    <w:rsid w:val="00FD0C2A"/>
    <w:rsid w:val="00FD6E0E"/>
    <w:rsid w:val="00FD717B"/>
    <w:rsid w:val="00FE3531"/>
    <w:rsid w:val="00FE69E7"/>
    <w:rsid w:val="00FF26BF"/>
    <w:rsid w:val="00FF287C"/>
    <w:rsid w:val="00FF38FB"/>
    <w:rsid w:val="00FF6616"/>
    <w:rsid w:val="00FF7859"/>
    <w:rsid w:val="011851CF"/>
    <w:rsid w:val="0130BA73"/>
    <w:rsid w:val="01821D83"/>
    <w:rsid w:val="0199063F"/>
    <w:rsid w:val="021355F8"/>
    <w:rsid w:val="021E6A51"/>
    <w:rsid w:val="0232E9F9"/>
    <w:rsid w:val="026A36F4"/>
    <w:rsid w:val="026B1EA8"/>
    <w:rsid w:val="027F0B93"/>
    <w:rsid w:val="02846C47"/>
    <w:rsid w:val="028FA4E4"/>
    <w:rsid w:val="02D2E30C"/>
    <w:rsid w:val="02D5A9EF"/>
    <w:rsid w:val="02D88EC0"/>
    <w:rsid w:val="02E5C8BC"/>
    <w:rsid w:val="0344938C"/>
    <w:rsid w:val="0365BBFC"/>
    <w:rsid w:val="036A5294"/>
    <w:rsid w:val="037202D5"/>
    <w:rsid w:val="03AD8197"/>
    <w:rsid w:val="03C36CB7"/>
    <w:rsid w:val="03C946C6"/>
    <w:rsid w:val="03F08ADD"/>
    <w:rsid w:val="0424D2F6"/>
    <w:rsid w:val="04393FB9"/>
    <w:rsid w:val="04727A01"/>
    <w:rsid w:val="04735765"/>
    <w:rsid w:val="04870266"/>
    <w:rsid w:val="049EA8D9"/>
    <w:rsid w:val="04A692B7"/>
    <w:rsid w:val="04A9F9DD"/>
    <w:rsid w:val="04E261E1"/>
    <w:rsid w:val="04E621F8"/>
    <w:rsid w:val="055A8AD4"/>
    <w:rsid w:val="0584B9FA"/>
    <w:rsid w:val="06492E02"/>
    <w:rsid w:val="064AAD89"/>
    <w:rsid w:val="06601E32"/>
    <w:rsid w:val="06D5C94C"/>
    <w:rsid w:val="06E26C0B"/>
    <w:rsid w:val="06E2FF39"/>
    <w:rsid w:val="06FCBF50"/>
    <w:rsid w:val="0710C334"/>
    <w:rsid w:val="07268771"/>
    <w:rsid w:val="0758CBCE"/>
    <w:rsid w:val="0776D0D8"/>
    <w:rsid w:val="07828A3A"/>
    <w:rsid w:val="07DB476B"/>
    <w:rsid w:val="07F3E0C3"/>
    <w:rsid w:val="08010F05"/>
    <w:rsid w:val="08078485"/>
    <w:rsid w:val="085E2ADF"/>
    <w:rsid w:val="087E4870"/>
    <w:rsid w:val="08834D9A"/>
    <w:rsid w:val="08A4B5F2"/>
    <w:rsid w:val="08D473AF"/>
    <w:rsid w:val="08F89C60"/>
    <w:rsid w:val="092F84EB"/>
    <w:rsid w:val="09323E06"/>
    <w:rsid w:val="0943E3C4"/>
    <w:rsid w:val="094A3E7F"/>
    <w:rsid w:val="0954A102"/>
    <w:rsid w:val="096FC16A"/>
    <w:rsid w:val="097133F4"/>
    <w:rsid w:val="097C2E89"/>
    <w:rsid w:val="09A92B13"/>
    <w:rsid w:val="0A0888E1"/>
    <w:rsid w:val="0A0B88B2"/>
    <w:rsid w:val="0A0EE365"/>
    <w:rsid w:val="0A409A51"/>
    <w:rsid w:val="0A4728F7"/>
    <w:rsid w:val="0A51FAA2"/>
    <w:rsid w:val="0AAFE938"/>
    <w:rsid w:val="0AEE0554"/>
    <w:rsid w:val="0AEE4903"/>
    <w:rsid w:val="0AF1D969"/>
    <w:rsid w:val="0B0A67AC"/>
    <w:rsid w:val="0B3E7D2F"/>
    <w:rsid w:val="0B48BF98"/>
    <w:rsid w:val="0B709FCF"/>
    <w:rsid w:val="0B94C3D7"/>
    <w:rsid w:val="0BB94226"/>
    <w:rsid w:val="0BCF349D"/>
    <w:rsid w:val="0C1039A8"/>
    <w:rsid w:val="0C21068B"/>
    <w:rsid w:val="0C48497E"/>
    <w:rsid w:val="0C566B7E"/>
    <w:rsid w:val="0C820F3C"/>
    <w:rsid w:val="0C94B95A"/>
    <w:rsid w:val="0CFA9694"/>
    <w:rsid w:val="0D4E1D3C"/>
    <w:rsid w:val="0DBBD21B"/>
    <w:rsid w:val="0DDC1580"/>
    <w:rsid w:val="0DF90317"/>
    <w:rsid w:val="0E0BA69C"/>
    <w:rsid w:val="0E2D42D8"/>
    <w:rsid w:val="0E377C7E"/>
    <w:rsid w:val="0E88C805"/>
    <w:rsid w:val="0E9A3D57"/>
    <w:rsid w:val="0EA8A6D2"/>
    <w:rsid w:val="0EBC331E"/>
    <w:rsid w:val="0EF857AC"/>
    <w:rsid w:val="0F04CAC6"/>
    <w:rsid w:val="0F321699"/>
    <w:rsid w:val="0F3C4A1D"/>
    <w:rsid w:val="0F5843FA"/>
    <w:rsid w:val="0F5C1442"/>
    <w:rsid w:val="0F81E01D"/>
    <w:rsid w:val="0F8ED10D"/>
    <w:rsid w:val="0F97D40C"/>
    <w:rsid w:val="0F9C392A"/>
    <w:rsid w:val="0FDC46B7"/>
    <w:rsid w:val="0FFB7D01"/>
    <w:rsid w:val="1073DCA9"/>
    <w:rsid w:val="1083D63A"/>
    <w:rsid w:val="1092D8D2"/>
    <w:rsid w:val="10A37174"/>
    <w:rsid w:val="10ADD978"/>
    <w:rsid w:val="10B55CCC"/>
    <w:rsid w:val="10E30EDD"/>
    <w:rsid w:val="10F3C3B0"/>
    <w:rsid w:val="10F6335F"/>
    <w:rsid w:val="110E3871"/>
    <w:rsid w:val="11945264"/>
    <w:rsid w:val="11A58076"/>
    <w:rsid w:val="11B2C395"/>
    <w:rsid w:val="11C18EB5"/>
    <w:rsid w:val="11C528D3"/>
    <w:rsid w:val="11D32629"/>
    <w:rsid w:val="11DB0001"/>
    <w:rsid w:val="11FAB273"/>
    <w:rsid w:val="1257F9C3"/>
    <w:rsid w:val="1275A76F"/>
    <w:rsid w:val="12913ED9"/>
    <w:rsid w:val="12A48262"/>
    <w:rsid w:val="13004869"/>
    <w:rsid w:val="1325FC8C"/>
    <w:rsid w:val="1338D86D"/>
    <w:rsid w:val="13C1B169"/>
    <w:rsid w:val="13D4E56A"/>
    <w:rsid w:val="14220113"/>
    <w:rsid w:val="149756BF"/>
    <w:rsid w:val="14B6BB66"/>
    <w:rsid w:val="14E15DE7"/>
    <w:rsid w:val="14E6C107"/>
    <w:rsid w:val="14F72DBD"/>
    <w:rsid w:val="15006A6F"/>
    <w:rsid w:val="152B0C40"/>
    <w:rsid w:val="15944AE6"/>
    <w:rsid w:val="15C9458B"/>
    <w:rsid w:val="16098902"/>
    <w:rsid w:val="162198CB"/>
    <w:rsid w:val="1658A73A"/>
    <w:rsid w:val="16769BE5"/>
    <w:rsid w:val="16EFE305"/>
    <w:rsid w:val="17306480"/>
    <w:rsid w:val="1760DAA9"/>
    <w:rsid w:val="1768B2F0"/>
    <w:rsid w:val="17A5D686"/>
    <w:rsid w:val="17AC9547"/>
    <w:rsid w:val="17C9C3EC"/>
    <w:rsid w:val="17EDAA01"/>
    <w:rsid w:val="180C9581"/>
    <w:rsid w:val="180F6439"/>
    <w:rsid w:val="182B780C"/>
    <w:rsid w:val="183C989E"/>
    <w:rsid w:val="18BC4A6B"/>
    <w:rsid w:val="18CE83C7"/>
    <w:rsid w:val="18D30293"/>
    <w:rsid w:val="18F03880"/>
    <w:rsid w:val="18F80245"/>
    <w:rsid w:val="19116F93"/>
    <w:rsid w:val="193647E0"/>
    <w:rsid w:val="1995680B"/>
    <w:rsid w:val="1998A8CD"/>
    <w:rsid w:val="199FB308"/>
    <w:rsid w:val="19BA1203"/>
    <w:rsid w:val="19C1F36E"/>
    <w:rsid w:val="19D956BB"/>
    <w:rsid w:val="1A0C0213"/>
    <w:rsid w:val="1A27C40D"/>
    <w:rsid w:val="1A33E6D7"/>
    <w:rsid w:val="1A441C81"/>
    <w:rsid w:val="1A7F3217"/>
    <w:rsid w:val="1AA7176D"/>
    <w:rsid w:val="1ABDB2DD"/>
    <w:rsid w:val="1B03E114"/>
    <w:rsid w:val="1B0A7B54"/>
    <w:rsid w:val="1B3AF38A"/>
    <w:rsid w:val="1B3EBA06"/>
    <w:rsid w:val="1B4C1818"/>
    <w:rsid w:val="1B507C40"/>
    <w:rsid w:val="1B59828E"/>
    <w:rsid w:val="1B657B16"/>
    <w:rsid w:val="1B75D988"/>
    <w:rsid w:val="1B7FB89F"/>
    <w:rsid w:val="1BAB0CCB"/>
    <w:rsid w:val="1BADF80B"/>
    <w:rsid w:val="1BBE0B9D"/>
    <w:rsid w:val="1BC8D818"/>
    <w:rsid w:val="1BEBB865"/>
    <w:rsid w:val="1BFFDC34"/>
    <w:rsid w:val="1C0B7E25"/>
    <w:rsid w:val="1C2FF327"/>
    <w:rsid w:val="1C325368"/>
    <w:rsid w:val="1CC28EE4"/>
    <w:rsid w:val="1D5E4B6E"/>
    <w:rsid w:val="1DA98FFE"/>
    <w:rsid w:val="1DCAA220"/>
    <w:rsid w:val="1DE8A291"/>
    <w:rsid w:val="1DED87C8"/>
    <w:rsid w:val="1E03FC02"/>
    <w:rsid w:val="1E0B4124"/>
    <w:rsid w:val="1E0E774E"/>
    <w:rsid w:val="1E1D6034"/>
    <w:rsid w:val="1E303276"/>
    <w:rsid w:val="1E4A783F"/>
    <w:rsid w:val="1E4D7BA7"/>
    <w:rsid w:val="1E6288BA"/>
    <w:rsid w:val="1EAEC8E2"/>
    <w:rsid w:val="1F4D56BD"/>
    <w:rsid w:val="1F501AC5"/>
    <w:rsid w:val="1F8093CC"/>
    <w:rsid w:val="1FA11DA1"/>
    <w:rsid w:val="1FBF8233"/>
    <w:rsid w:val="1FC871CC"/>
    <w:rsid w:val="1FE1E53A"/>
    <w:rsid w:val="1FE5FF8F"/>
    <w:rsid w:val="1FF41605"/>
    <w:rsid w:val="203B4063"/>
    <w:rsid w:val="205B4715"/>
    <w:rsid w:val="206B18F5"/>
    <w:rsid w:val="20A7FF5C"/>
    <w:rsid w:val="20AAA90C"/>
    <w:rsid w:val="20B4DFCF"/>
    <w:rsid w:val="2123C67C"/>
    <w:rsid w:val="2153A361"/>
    <w:rsid w:val="217CDF2A"/>
    <w:rsid w:val="219436B9"/>
    <w:rsid w:val="219AF88B"/>
    <w:rsid w:val="21C66F2A"/>
    <w:rsid w:val="223CC326"/>
    <w:rsid w:val="22545570"/>
    <w:rsid w:val="22630E4B"/>
    <w:rsid w:val="2286CEA8"/>
    <w:rsid w:val="22E1EFC0"/>
    <w:rsid w:val="22E5414E"/>
    <w:rsid w:val="22EC4C4E"/>
    <w:rsid w:val="22F9279D"/>
    <w:rsid w:val="2326AA9C"/>
    <w:rsid w:val="2352269A"/>
    <w:rsid w:val="235B0977"/>
    <w:rsid w:val="236A09D2"/>
    <w:rsid w:val="23817EA4"/>
    <w:rsid w:val="23D90540"/>
    <w:rsid w:val="23E1532E"/>
    <w:rsid w:val="241CA2A1"/>
    <w:rsid w:val="24202B95"/>
    <w:rsid w:val="24344771"/>
    <w:rsid w:val="2478A225"/>
    <w:rsid w:val="24AE7DB6"/>
    <w:rsid w:val="2532081C"/>
    <w:rsid w:val="25649F9F"/>
    <w:rsid w:val="256D7783"/>
    <w:rsid w:val="256EFCA2"/>
    <w:rsid w:val="258054B3"/>
    <w:rsid w:val="2580D173"/>
    <w:rsid w:val="25ABF7D5"/>
    <w:rsid w:val="25EFC7F7"/>
    <w:rsid w:val="2612FD84"/>
    <w:rsid w:val="262139FA"/>
    <w:rsid w:val="2635F500"/>
    <w:rsid w:val="264F2ECF"/>
    <w:rsid w:val="26610B1C"/>
    <w:rsid w:val="26678CDC"/>
    <w:rsid w:val="26BE9880"/>
    <w:rsid w:val="271434B3"/>
    <w:rsid w:val="271B7735"/>
    <w:rsid w:val="271FA57B"/>
    <w:rsid w:val="274AD9C2"/>
    <w:rsid w:val="27576C7B"/>
    <w:rsid w:val="27584BF0"/>
    <w:rsid w:val="27705696"/>
    <w:rsid w:val="278FB16A"/>
    <w:rsid w:val="2814482E"/>
    <w:rsid w:val="28200A74"/>
    <w:rsid w:val="28539705"/>
    <w:rsid w:val="286D2F79"/>
    <w:rsid w:val="28E94FE4"/>
    <w:rsid w:val="28F2B19E"/>
    <w:rsid w:val="29137D8F"/>
    <w:rsid w:val="2921E580"/>
    <w:rsid w:val="292D4082"/>
    <w:rsid w:val="29315944"/>
    <w:rsid w:val="2958A502"/>
    <w:rsid w:val="2986C9E2"/>
    <w:rsid w:val="29B3B909"/>
    <w:rsid w:val="29D8A111"/>
    <w:rsid w:val="2A29B471"/>
    <w:rsid w:val="2A74B839"/>
    <w:rsid w:val="2AB44E6F"/>
    <w:rsid w:val="2AED6419"/>
    <w:rsid w:val="2B04AF9D"/>
    <w:rsid w:val="2B2712E2"/>
    <w:rsid w:val="2B64421D"/>
    <w:rsid w:val="2B6A23AA"/>
    <w:rsid w:val="2B7911EF"/>
    <w:rsid w:val="2BBE4311"/>
    <w:rsid w:val="2BDDA38B"/>
    <w:rsid w:val="2BF5E5CF"/>
    <w:rsid w:val="2C1CCD7A"/>
    <w:rsid w:val="2C301339"/>
    <w:rsid w:val="2C8F2AF8"/>
    <w:rsid w:val="2C93864F"/>
    <w:rsid w:val="2CBD6630"/>
    <w:rsid w:val="2CC40236"/>
    <w:rsid w:val="2CE79A2E"/>
    <w:rsid w:val="2CEB6806"/>
    <w:rsid w:val="2D1B5D2A"/>
    <w:rsid w:val="2D2F13DA"/>
    <w:rsid w:val="2D3CF9D9"/>
    <w:rsid w:val="2D5B9D40"/>
    <w:rsid w:val="2DB58A5F"/>
    <w:rsid w:val="2DDA3B5B"/>
    <w:rsid w:val="2E38051C"/>
    <w:rsid w:val="2E415406"/>
    <w:rsid w:val="2E4451D6"/>
    <w:rsid w:val="2E48CA50"/>
    <w:rsid w:val="2E49B925"/>
    <w:rsid w:val="2E93F573"/>
    <w:rsid w:val="2EAF7D1C"/>
    <w:rsid w:val="2EBC1728"/>
    <w:rsid w:val="2EBD3DF9"/>
    <w:rsid w:val="2F012CB3"/>
    <w:rsid w:val="2F6D8409"/>
    <w:rsid w:val="2FB96AAF"/>
    <w:rsid w:val="2FBC5137"/>
    <w:rsid w:val="2FC8D698"/>
    <w:rsid w:val="2FCA884B"/>
    <w:rsid w:val="2FCC32E5"/>
    <w:rsid w:val="2FD319E9"/>
    <w:rsid w:val="2FF2154F"/>
    <w:rsid w:val="2FF503B1"/>
    <w:rsid w:val="2FFE2FA9"/>
    <w:rsid w:val="302C139B"/>
    <w:rsid w:val="309AC307"/>
    <w:rsid w:val="30BA8FA3"/>
    <w:rsid w:val="30BAEC8A"/>
    <w:rsid w:val="30EA58D9"/>
    <w:rsid w:val="3103D16C"/>
    <w:rsid w:val="31228B37"/>
    <w:rsid w:val="321A9416"/>
    <w:rsid w:val="321D864D"/>
    <w:rsid w:val="3251A85B"/>
    <w:rsid w:val="3257E256"/>
    <w:rsid w:val="3269B1ED"/>
    <w:rsid w:val="32795BBE"/>
    <w:rsid w:val="3294769A"/>
    <w:rsid w:val="32BADE3F"/>
    <w:rsid w:val="32EAA3EC"/>
    <w:rsid w:val="32EDF1ED"/>
    <w:rsid w:val="32F5E5AD"/>
    <w:rsid w:val="33020214"/>
    <w:rsid w:val="330505E3"/>
    <w:rsid w:val="331F1786"/>
    <w:rsid w:val="3333B381"/>
    <w:rsid w:val="338A74D6"/>
    <w:rsid w:val="33A18337"/>
    <w:rsid w:val="33B91B19"/>
    <w:rsid w:val="33E0A77E"/>
    <w:rsid w:val="33E1583E"/>
    <w:rsid w:val="33EF5297"/>
    <w:rsid w:val="3438E2D7"/>
    <w:rsid w:val="3439CDEC"/>
    <w:rsid w:val="343F9031"/>
    <w:rsid w:val="34747166"/>
    <w:rsid w:val="34B7F454"/>
    <w:rsid w:val="34C74E59"/>
    <w:rsid w:val="34F9B142"/>
    <w:rsid w:val="3537012E"/>
    <w:rsid w:val="35391499"/>
    <w:rsid w:val="354EEDB7"/>
    <w:rsid w:val="35553D23"/>
    <w:rsid w:val="356260AC"/>
    <w:rsid w:val="357B7506"/>
    <w:rsid w:val="35D3D84A"/>
    <w:rsid w:val="35D6AF9A"/>
    <w:rsid w:val="35EE18FA"/>
    <w:rsid w:val="35F00E0D"/>
    <w:rsid w:val="360B6B1D"/>
    <w:rsid w:val="36184CED"/>
    <w:rsid w:val="3633BA01"/>
    <w:rsid w:val="3637BA0D"/>
    <w:rsid w:val="363F3ED3"/>
    <w:rsid w:val="36514F52"/>
    <w:rsid w:val="366707FE"/>
    <w:rsid w:val="367AEEFB"/>
    <w:rsid w:val="36A237E5"/>
    <w:rsid w:val="36BD2975"/>
    <w:rsid w:val="36BE2A95"/>
    <w:rsid w:val="36F861DE"/>
    <w:rsid w:val="37176599"/>
    <w:rsid w:val="375957F1"/>
    <w:rsid w:val="375DA1FD"/>
    <w:rsid w:val="378B24FB"/>
    <w:rsid w:val="378DE383"/>
    <w:rsid w:val="379C04D4"/>
    <w:rsid w:val="37CBCB18"/>
    <w:rsid w:val="3875840F"/>
    <w:rsid w:val="38788441"/>
    <w:rsid w:val="388C836D"/>
    <w:rsid w:val="38CBCD7C"/>
    <w:rsid w:val="38DB4B83"/>
    <w:rsid w:val="39290FB5"/>
    <w:rsid w:val="396695F1"/>
    <w:rsid w:val="3996A2F7"/>
    <w:rsid w:val="39ACB394"/>
    <w:rsid w:val="39E6ED95"/>
    <w:rsid w:val="3A23A31D"/>
    <w:rsid w:val="3A31336E"/>
    <w:rsid w:val="3A4AB177"/>
    <w:rsid w:val="3A6E7FEE"/>
    <w:rsid w:val="3A868EA2"/>
    <w:rsid w:val="3AA01B61"/>
    <w:rsid w:val="3AC0A2DC"/>
    <w:rsid w:val="3AC9BD7B"/>
    <w:rsid w:val="3ACC2E1C"/>
    <w:rsid w:val="3ACD9C14"/>
    <w:rsid w:val="3B3437DE"/>
    <w:rsid w:val="3B419848"/>
    <w:rsid w:val="3B891ED1"/>
    <w:rsid w:val="3BAF1E68"/>
    <w:rsid w:val="3BB30A9D"/>
    <w:rsid w:val="3BBEC071"/>
    <w:rsid w:val="3BDE66EF"/>
    <w:rsid w:val="3C08A8C2"/>
    <w:rsid w:val="3C2FEC9F"/>
    <w:rsid w:val="3C45A647"/>
    <w:rsid w:val="3D10CAC1"/>
    <w:rsid w:val="3D654AB9"/>
    <w:rsid w:val="3D80B9FB"/>
    <w:rsid w:val="3D990927"/>
    <w:rsid w:val="3DC77D37"/>
    <w:rsid w:val="3DD1C06B"/>
    <w:rsid w:val="3E2E7FCB"/>
    <w:rsid w:val="3E45B68D"/>
    <w:rsid w:val="3E9BA74D"/>
    <w:rsid w:val="3EB712A7"/>
    <w:rsid w:val="3EC6E67B"/>
    <w:rsid w:val="3ECEA8A9"/>
    <w:rsid w:val="3F52538A"/>
    <w:rsid w:val="3FB82D92"/>
    <w:rsid w:val="3FBCD07D"/>
    <w:rsid w:val="3FD7C762"/>
    <w:rsid w:val="40015679"/>
    <w:rsid w:val="4007239B"/>
    <w:rsid w:val="406B498E"/>
    <w:rsid w:val="407579DB"/>
    <w:rsid w:val="4082E4DE"/>
    <w:rsid w:val="4115CE7E"/>
    <w:rsid w:val="4120B26A"/>
    <w:rsid w:val="4145F952"/>
    <w:rsid w:val="41EFC0F3"/>
    <w:rsid w:val="42078A00"/>
    <w:rsid w:val="420B5600"/>
    <w:rsid w:val="4215A964"/>
    <w:rsid w:val="42216B82"/>
    <w:rsid w:val="422E47C0"/>
    <w:rsid w:val="42466C98"/>
    <w:rsid w:val="424AB980"/>
    <w:rsid w:val="427B33C0"/>
    <w:rsid w:val="428B0D2F"/>
    <w:rsid w:val="42A34BA0"/>
    <w:rsid w:val="42C4E07D"/>
    <w:rsid w:val="42EBDF9E"/>
    <w:rsid w:val="42F75B1C"/>
    <w:rsid w:val="435C6DF2"/>
    <w:rsid w:val="435EC4BF"/>
    <w:rsid w:val="4369CFF4"/>
    <w:rsid w:val="437B6529"/>
    <w:rsid w:val="43B3F4B0"/>
    <w:rsid w:val="43CDFE49"/>
    <w:rsid w:val="43E012A2"/>
    <w:rsid w:val="43EF9EC8"/>
    <w:rsid w:val="43F42932"/>
    <w:rsid w:val="4403DD2B"/>
    <w:rsid w:val="4442815D"/>
    <w:rsid w:val="444C39BB"/>
    <w:rsid w:val="445722DC"/>
    <w:rsid w:val="44632E41"/>
    <w:rsid w:val="4496E0C7"/>
    <w:rsid w:val="44D47956"/>
    <w:rsid w:val="44D50EDE"/>
    <w:rsid w:val="44D997EB"/>
    <w:rsid w:val="44DE59A4"/>
    <w:rsid w:val="4521DA08"/>
    <w:rsid w:val="452858F9"/>
    <w:rsid w:val="4532B3E9"/>
    <w:rsid w:val="4541A4B1"/>
    <w:rsid w:val="455DE97D"/>
    <w:rsid w:val="45971651"/>
    <w:rsid w:val="45BD9E1A"/>
    <w:rsid w:val="45C58620"/>
    <w:rsid w:val="45F4966C"/>
    <w:rsid w:val="46124AA8"/>
    <w:rsid w:val="4663CA45"/>
    <w:rsid w:val="466E5837"/>
    <w:rsid w:val="468CC3A8"/>
    <w:rsid w:val="46934AE1"/>
    <w:rsid w:val="46CBB087"/>
    <w:rsid w:val="47119D0D"/>
    <w:rsid w:val="471A039E"/>
    <w:rsid w:val="474DC56F"/>
    <w:rsid w:val="4754D076"/>
    <w:rsid w:val="475AF772"/>
    <w:rsid w:val="478AF5AE"/>
    <w:rsid w:val="4796A1F2"/>
    <w:rsid w:val="47ED07E8"/>
    <w:rsid w:val="481E9CBC"/>
    <w:rsid w:val="48581E76"/>
    <w:rsid w:val="48885898"/>
    <w:rsid w:val="48EE7488"/>
    <w:rsid w:val="49348BCF"/>
    <w:rsid w:val="493FBDB2"/>
    <w:rsid w:val="4988B72F"/>
    <w:rsid w:val="499CF41E"/>
    <w:rsid w:val="49B5623C"/>
    <w:rsid w:val="49BC3109"/>
    <w:rsid w:val="49BCF701"/>
    <w:rsid w:val="49D95856"/>
    <w:rsid w:val="49F70BA5"/>
    <w:rsid w:val="49FDB3E5"/>
    <w:rsid w:val="4A27256B"/>
    <w:rsid w:val="4A38E8B0"/>
    <w:rsid w:val="4A6B7461"/>
    <w:rsid w:val="4ABFC94D"/>
    <w:rsid w:val="4AEB7692"/>
    <w:rsid w:val="4B0146B2"/>
    <w:rsid w:val="4B4D38BE"/>
    <w:rsid w:val="4B614E02"/>
    <w:rsid w:val="4B9DFDE1"/>
    <w:rsid w:val="4BD3F18C"/>
    <w:rsid w:val="4C0A8A1F"/>
    <w:rsid w:val="4C340177"/>
    <w:rsid w:val="4C57B83D"/>
    <w:rsid w:val="4C5A15CF"/>
    <w:rsid w:val="4C8DDAD2"/>
    <w:rsid w:val="4CA150BA"/>
    <w:rsid w:val="4CE49BE0"/>
    <w:rsid w:val="4CE4D5C2"/>
    <w:rsid w:val="4CEBE1E5"/>
    <w:rsid w:val="4CF025A6"/>
    <w:rsid w:val="4CF4823B"/>
    <w:rsid w:val="4D0ADE08"/>
    <w:rsid w:val="4D25F1F8"/>
    <w:rsid w:val="4D3FC582"/>
    <w:rsid w:val="4DB759D8"/>
    <w:rsid w:val="4DDE4265"/>
    <w:rsid w:val="4DE34DF7"/>
    <w:rsid w:val="4E0EC988"/>
    <w:rsid w:val="4E11697A"/>
    <w:rsid w:val="4E4C937F"/>
    <w:rsid w:val="4E65A449"/>
    <w:rsid w:val="4ED4992F"/>
    <w:rsid w:val="4EE230EA"/>
    <w:rsid w:val="4EF1742E"/>
    <w:rsid w:val="4F3157A0"/>
    <w:rsid w:val="4F6E49DC"/>
    <w:rsid w:val="4F977915"/>
    <w:rsid w:val="4FD2330F"/>
    <w:rsid w:val="4FDE60AB"/>
    <w:rsid w:val="500A8883"/>
    <w:rsid w:val="5018CD3B"/>
    <w:rsid w:val="5037FCD6"/>
    <w:rsid w:val="5043BC15"/>
    <w:rsid w:val="5047D64E"/>
    <w:rsid w:val="504C9067"/>
    <w:rsid w:val="5093DC70"/>
    <w:rsid w:val="5099750C"/>
    <w:rsid w:val="50B5AF28"/>
    <w:rsid w:val="50BF3B56"/>
    <w:rsid w:val="50C17E94"/>
    <w:rsid w:val="51008BE4"/>
    <w:rsid w:val="513920AD"/>
    <w:rsid w:val="514974F8"/>
    <w:rsid w:val="5180B522"/>
    <w:rsid w:val="51A44A41"/>
    <w:rsid w:val="51AFC33B"/>
    <w:rsid w:val="51CFEF94"/>
    <w:rsid w:val="51D85971"/>
    <w:rsid w:val="51DE0B6D"/>
    <w:rsid w:val="51E419A4"/>
    <w:rsid w:val="51F44E32"/>
    <w:rsid w:val="5203E2FA"/>
    <w:rsid w:val="5204791D"/>
    <w:rsid w:val="5214D0A8"/>
    <w:rsid w:val="52202494"/>
    <w:rsid w:val="523B59D5"/>
    <w:rsid w:val="529248C2"/>
    <w:rsid w:val="52936255"/>
    <w:rsid w:val="529F5EC2"/>
    <w:rsid w:val="52DA2F5A"/>
    <w:rsid w:val="52DD7D39"/>
    <w:rsid w:val="52FF70A5"/>
    <w:rsid w:val="533B9279"/>
    <w:rsid w:val="5425F960"/>
    <w:rsid w:val="54846048"/>
    <w:rsid w:val="5484D24A"/>
    <w:rsid w:val="54AE6693"/>
    <w:rsid w:val="54E8C352"/>
    <w:rsid w:val="5500C251"/>
    <w:rsid w:val="55030720"/>
    <w:rsid w:val="555041A0"/>
    <w:rsid w:val="5596A198"/>
    <w:rsid w:val="55D1F2AF"/>
    <w:rsid w:val="55D5F842"/>
    <w:rsid w:val="55EFC177"/>
    <w:rsid w:val="562A6316"/>
    <w:rsid w:val="564391C4"/>
    <w:rsid w:val="564A934E"/>
    <w:rsid w:val="5675FEE2"/>
    <w:rsid w:val="56B49095"/>
    <w:rsid w:val="56E7E4EC"/>
    <w:rsid w:val="57591F89"/>
    <w:rsid w:val="57D12EF8"/>
    <w:rsid w:val="58B35D3A"/>
    <w:rsid w:val="58C8B8B7"/>
    <w:rsid w:val="58CE2222"/>
    <w:rsid w:val="59227F7B"/>
    <w:rsid w:val="5936F7AC"/>
    <w:rsid w:val="59847194"/>
    <w:rsid w:val="599412DF"/>
    <w:rsid w:val="59C7E24D"/>
    <w:rsid w:val="59E542C9"/>
    <w:rsid w:val="59F737F5"/>
    <w:rsid w:val="5A0BFEE3"/>
    <w:rsid w:val="5A1FADF9"/>
    <w:rsid w:val="5A512CD5"/>
    <w:rsid w:val="5A57908D"/>
    <w:rsid w:val="5A72385A"/>
    <w:rsid w:val="5A930829"/>
    <w:rsid w:val="5AF8EC82"/>
    <w:rsid w:val="5B07585D"/>
    <w:rsid w:val="5B449524"/>
    <w:rsid w:val="5B61DBBD"/>
    <w:rsid w:val="5B63A866"/>
    <w:rsid w:val="5B641184"/>
    <w:rsid w:val="5B69469F"/>
    <w:rsid w:val="5B8F123F"/>
    <w:rsid w:val="5BA414FE"/>
    <w:rsid w:val="5BCD8038"/>
    <w:rsid w:val="5BD778CA"/>
    <w:rsid w:val="5BE1070D"/>
    <w:rsid w:val="5BF23743"/>
    <w:rsid w:val="5C04A3B3"/>
    <w:rsid w:val="5C854983"/>
    <w:rsid w:val="5C8DA332"/>
    <w:rsid w:val="5CF93666"/>
    <w:rsid w:val="5D731CF1"/>
    <w:rsid w:val="5D74A962"/>
    <w:rsid w:val="5D7BD410"/>
    <w:rsid w:val="5D8D08D0"/>
    <w:rsid w:val="5D8F80DF"/>
    <w:rsid w:val="5D9A3727"/>
    <w:rsid w:val="5DB77DF5"/>
    <w:rsid w:val="5DC59C28"/>
    <w:rsid w:val="5DC80FE0"/>
    <w:rsid w:val="5E7DEF33"/>
    <w:rsid w:val="5EB608CB"/>
    <w:rsid w:val="5EC269F2"/>
    <w:rsid w:val="5EDBA797"/>
    <w:rsid w:val="5EDCCE6D"/>
    <w:rsid w:val="5F0434CD"/>
    <w:rsid w:val="5F2271BB"/>
    <w:rsid w:val="5F311E1F"/>
    <w:rsid w:val="5F538888"/>
    <w:rsid w:val="5F54AC1E"/>
    <w:rsid w:val="5F5D0CC6"/>
    <w:rsid w:val="5FAE9D18"/>
    <w:rsid w:val="601C2129"/>
    <w:rsid w:val="603D1BB9"/>
    <w:rsid w:val="605CD39A"/>
    <w:rsid w:val="605D2019"/>
    <w:rsid w:val="605E8408"/>
    <w:rsid w:val="60733D71"/>
    <w:rsid w:val="607BA55B"/>
    <w:rsid w:val="6092B21A"/>
    <w:rsid w:val="6095AEEB"/>
    <w:rsid w:val="60BD8A65"/>
    <w:rsid w:val="60CD9B97"/>
    <w:rsid w:val="60D94700"/>
    <w:rsid w:val="60E077CD"/>
    <w:rsid w:val="613BB520"/>
    <w:rsid w:val="613FB320"/>
    <w:rsid w:val="617D94E1"/>
    <w:rsid w:val="6199AEB8"/>
    <w:rsid w:val="61D1EC8D"/>
    <w:rsid w:val="61DB194A"/>
    <w:rsid w:val="61EEF088"/>
    <w:rsid w:val="62278302"/>
    <w:rsid w:val="62405E54"/>
    <w:rsid w:val="626FCA76"/>
    <w:rsid w:val="628ECA55"/>
    <w:rsid w:val="62BED239"/>
    <w:rsid w:val="63539358"/>
    <w:rsid w:val="63804DA7"/>
    <w:rsid w:val="63A8111C"/>
    <w:rsid w:val="63AFFB69"/>
    <w:rsid w:val="63B6F5FF"/>
    <w:rsid w:val="63B78DE3"/>
    <w:rsid w:val="63E9149B"/>
    <w:rsid w:val="641AB5A1"/>
    <w:rsid w:val="6430ABEF"/>
    <w:rsid w:val="6443FAC5"/>
    <w:rsid w:val="6469CBF9"/>
    <w:rsid w:val="6472ED71"/>
    <w:rsid w:val="64944665"/>
    <w:rsid w:val="64F6D4C7"/>
    <w:rsid w:val="6531443E"/>
    <w:rsid w:val="65401EA8"/>
    <w:rsid w:val="656ADE67"/>
    <w:rsid w:val="65804E2B"/>
    <w:rsid w:val="65A45467"/>
    <w:rsid w:val="65B0054C"/>
    <w:rsid w:val="66230CBC"/>
    <w:rsid w:val="66B78D16"/>
    <w:rsid w:val="66BA28B9"/>
    <w:rsid w:val="66BCAF83"/>
    <w:rsid w:val="66D241E2"/>
    <w:rsid w:val="66F5B823"/>
    <w:rsid w:val="67265407"/>
    <w:rsid w:val="6730F040"/>
    <w:rsid w:val="6732FA46"/>
    <w:rsid w:val="67339F4C"/>
    <w:rsid w:val="673C0941"/>
    <w:rsid w:val="673E7C4F"/>
    <w:rsid w:val="676542CC"/>
    <w:rsid w:val="67802593"/>
    <w:rsid w:val="67D12F4D"/>
    <w:rsid w:val="68021466"/>
    <w:rsid w:val="680BB228"/>
    <w:rsid w:val="6841B4FF"/>
    <w:rsid w:val="684E3117"/>
    <w:rsid w:val="68891CE8"/>
    <w:rsid w:val="688EBECA"/>
    <w:rsid w:val="68B78E0B"/>
    <w:rsid w:val="68C0EB6E"/>
    <w:rsid w:val="68D58959"/>
    <w:rsid w:val="692D6B85"/>
    <w:rsid w:val="698C4E72"/>
    <w:rsid w:val="69AD8E16"/>
    <w:rsid w:val="69C5824E"/>
    <w:rsid w:val="69E89CE6"/>
    <w:rsid w:val="6A0AD7F3"/>
    <w:rsid w:val="6A28DD42"/>
    <w:rsid w:val="6A4054B3"/>
    <w:rsid w:val="6A676B1B"/>
    <w:rsid w:val="6A6D7DA5"/>
    <w:rsid w:val="6A7EBE0E"/>
    <w:rsid w:val="6A840F87"/>
    <w:rsid w:val="6AAC44D4"/>
    <w:rsid w:val="6AD19084"/>
    <w:rsid w:val="6B0805AD"/>
    <w:rsid w:val="6B155BD8"/>
    <w:rsid w:val="6B3DE219"/>
    <w:rsid w:val="6B4A01E9"/>
    <w:rsid w:val="6B4B582C"/>
    <w:rsid w:val="6B66DEA4"/>
    <w:rsid w:val="6B7A217A"/>
    <w:rsid w:val="6B9EFA0F"/>
    <w:rsid w:val="6BE6D9DB"/>
    <w:rsid w:val="6BEB91E7"/>
    <w:rsid w:val="6BF0EBE2"/>
    <w:rsid w:val="6C24227E"/>
    <w:rsid w:val="6C3AB235"/>
    <w:rsid w:val="6C3F3FE3"/>
    <w:rsid w:val="6C6FD31A"/>
    <w:rsid w:val="6C9A4808"/>
    <w:rsid w:val="6CC20477"/>
    <w:rsid w:val="6CF01B16"/>
    <w:rsid w:val="6D2A97DF"/>
    <w:rsid w:val="6DA757A4"/>
    <w:rsid w:val="6DB174FE"/>
    <w:rsid w:val="6DB6D3E5"/>
    <w:rsid w:val="6DBC1F67"/>
    <w:rsid w:val="6DE3C2F4"/>
    <w:rsid w:val="6E14E8A2"/>
    <w:rsid w:val="6E165539"/>
    <w:rsid w:val="6E2814CD"/>
    <w:rsid w:val="6E318FA8"/>
    <w:rsid w:val="6E4B5811"/>
    <w:rsid w:val="6E541704"/>
    <w:rsid w:val="6E767442"/>
    <w:rsid w:val="6EC6C1A1"/>
    <w:rsid w:val="6ECC84D0"/>
    <w:rsid w:val="6EEE0851"/>
    <w:rsid w:val="6F1F7709"/>
    <w:rsid w:val="6F3A86E6"/>
    <w:rsid w:val="6F3BE054"/>
    <w:rsid w:val="6F906FBA"/>
    <w:rsid w:val="6F93DDF8"/>
    <w:rsid w:val="6FA318D1"/>
    <w:rsid w:val="6FA6498E"/>
    <w:rsid w:val="6FC25D51"/>
    <w:rsid w:val="6FCF9C66"/>
    <w:rsid w:val="6FE0E0B8"/>
    <w:rsid w:val="700414A8"/>
    <w:rsid w:val="70282E9A"/>
    <w:rsid w:val="703AB4E6"/>
    <w:rsid w:val="703E3A7B"/>
    <w:rsid w:val="7054E2E5"/>
    <w:rsid w:val="70680823"/>
    <w:rsid w:val="707D32B5"/>
    <w:rsid w:val="70881003"/>
    <w:rsid w:val="70942E22"/>
    <w:rsid w:val="709C4785"/>
    <w:rsid w:val="70A5613B"/>
    <w:rsid w:val="70B11006"/>
    <w:rsid w:val="70FBA46F"/>
    <w:rsid w:val="710AAEF3"/>
    <w:rsid w:val="710BF7BE"/>
    <w:rsid w:val="711052B0"/>
    <w:rsid w:val="712B3AC6"/>
    <w:rsid w:val="714C9B1B"/>
    <w:rsid w:val="7151AD42"/>
    <w:rsid w:val="7169BD78"/>
    <w:rsid w:val="716F41EE"/>
    <w:rsid w:val="717AB306"/>
    <w:rsid w:val="71BCFB7F"/>
    <w:rsid w:val="720C7C8A"/>
    <w:rsid w:val="72174466"/>
    <w:rsid w:val="723A162E"/>
    <w:rsid w:val="728E4782"/>
    <w:rsid w:val="72CE3AFA"/>
    <w:rsid w:val="72DD37DB"/>
    <w:rsid w:val="72E35EC9"/>
    <w:rsid w:val="72E3FF7B"/>
    <w:rsid w:val="7338F495"/>
    <w:rsid w:val="7360163E"/>
    <w:rsid w:val="7369B17E"/>
    <w:rsid w:val="736A9EEB"/>
    <w:rsid w:val="73854757"/>
    <w:rsid w:val="73943AEF"/>
    <w:rsid w:val="73962C3A"/>
    <w:rsid w:val="73DC5061"/>
    <w:rsid w:val="74081A0D"/>
    <w:rsid w:val="740DDC82"/>
    <w:rsid w:val="7430DE0B"/>
    <w:rsid w:val="7446D3D4"/>
    <w:rsid w:val="745CC998"/>
    <w:rsid w:val="748981D3"/>
    <w:rsid w:val="74B230BA"/>
    <w:rsid w:val="74BCC36A"/>
    <w:rsid w:val="74E9D5E7"/>
    <w:rsid w:val="74ED7AE9"/>
    <w:rsid w:val="74FAF621"/>
    <w:rsid w:val="751BF80C"/>
    <w:rsid w:val="75369E6D"/>
    <w:rsid w:val="754E6CD4"/>
    <w:rsid w:val="755196E4"/>
    <w:rsid w:val="75703CF0"/>
    <w:rsid w:val="75C3FC10"/>
    <w:rsid w:val="75D0974D"/>
    <w:rsid w:val="75EED8FB"/>
    <w:rsid w:val="76225E6B"/>
    <w:rsid w:val="764FE9E5"/>
    <w:rsid w:val="76A9B6E8"/>
    <w:rsid w:val="76CB100A"/>
    <w:rsid w:val="76F8749C"/>
    <w:rsid w:val="770D5F12"/>
    <w:rsid w:val="7723D98A"/>
    <w:rsid w:val="7730C481"/>
    <w:rsid w:val="778239C1"/>
    <w:rsid w:val="779FE0A7"/>
    <w:rsid w:val="77A2B0A3"/>
    <w:rsid w:val="77AE2EBF"/>
    <w:rsid w:val="77CF6BB2"/>
    <w:rsid w:val="78078AC2"/>
    <w:rsid w:val="7835D430"/>
    <w:rsid w:val="78406537"/>
    <w:rsid w:val="7843F324"/>
    <w:rsid w:val="78586C26"/>
    <w:rsid w:val="7867D188"/>
    <w:rsid w:val="78740E9C"/>
    <w:rsid w:val="787960CB"/>
    <w:rsid w:val="78A92CFD"/>
    <w:rsid w:val="792E45BE"/>
    <w:rsid w:val="79314B74"/>
    <w:rsid w:val="795E494D"/>
    <w:rsid w:val="79861EA0"/>
    <w:rsid w:val="79BB7631"/>
    <w:rsid w:val="79D26FCE"/>
    <w:rsid w:val="79F19126"/>
    <w:rsid w:val="7A092D5B"/>
    <w:rsid w:val="7A303146"/>
    <w:rsid w:val="7A45CF8C"/>
    <w:rsid w:val="7A5A044F"/>
    <w:rsid w:val="7A754165"/>
    <w:rsid w:val="7AA9F0A0"/>
    <w:rsid w:val="7AB651EE"/>
    <w:rsid w:val="7AD296BB"/>
    <w:rsid w:val="7AED9C34"/>
    <w:rsid w:val="7AEFA69A"/>
    <w:rsid w:val="7AF007DD"/>
    <w:rsid w:val="7B09429F"/>
    <w:rsid w:val="7BB6FC87"/>
    <w:rsid w:val="7BD1F995"/>
    <w:rsid w:val="7C18210C"/>
    <w:rsid w:val="7C609527"/>
    <w:rsid w:val="7C7ADAB1"/>
    <w:rsid w:val="7CA2668F"/>
    <w:rsid w:val="7CD16C5F"/>
    <w:rsid w:val="7CE081DA"/>
    <w:rsid w:val="7CE867C1"/>
    <w:rsid w:val="7CF34FCF"/>
    <w:rsid w:val="7D1E0980"/>
    <w:rsid w:val="7D1E986D"/>
    <w:rsid w:val="7D25A62C"/>
    <w:rsid w:val="7D2CD512"/>
    <w:rsid w:val="7D2DCBD2"/>
    <w:rsid w:val="7D685DCC"/>
    <w:rsid w:val="7D79B337"/>
    <w:rsid w:val="7D962BAE"/>
    <w:rsid w:val="7D98D4EE"/>
    <w:rsid w:val="7DA0CACF"/>
    <w:rsid w:val="7DBF3690"/>
    <w:rsid w:val="7DD5EF38"/>
    <w:rsid w:val="7DD6FA15"/>
    <w:rsid w:val="7DF6C06E"/>
    <w:rsid w:val="7DF6EC99"/>
    <w:rsid w:val="7E45618C"/>
    <w:rsid w:val="7E4AACE1"/>
    <w:rsid w:val="7E979834"/>
    <w:rsid w:val="7EE61D3D"/>
    <w:rsid w:val="7F36D755"/>
    <w:rsid w:val="7F3F8F3E"/>
    <w:rsid w:val="7F734F0D"/>
    <w:rsid w:val="7FB1BD3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E5BACF"/>
  <w15:chartTrackingRefBased/>
  <w15:docId w15:val="{474AD240-F6FA-4BEB-B6ED-DD337B5F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1AA"/>
    <w:pPr>
      <w:spacing w:after="200" w:line="276" w:lineRule="auto"/>
    </w:pPr>
    <w:rPr>
      <w:sz w:val="22"/>
      <w:szCs w:val="22"/>
      <w:lang w:eastAsia="en-US"/>
    </w:rPr>
  </w:style>
  <w:style w:type="paragraph" w:styleId="Titre2">
    <w:name w:val="heading 2"/>
    <w:basedOn w:val="Normal"/>
    <w:link w:val="Titre2Car"/>
    <w:uiPriority w:val="9"/>
    <w:qFormat/>
    <w:locked/>
    <w:rsid w:val="00D12722"/>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11D1"/>
    <w:pPr>
      <w:ind w:left="720"/>
      <w:contextualSpacing/>
    </w:pPr>
  </w:style>
  <w:style w:type="paragraph" w:styleId="Explorateurdedocuments">
    <w:name w:val="Document Map"/>
    <w:basedOn w:val="Normal"/>
    <w:link w:val="ExplorateurdedocumentsCar"/>
    <w:uiPriority w:val="99"/>
    <w:semiHidden/>
    <w:rsid w:val="00CD2E1C"/>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rsid w:val="00666430"/>
    <w:rPr>
      <w:rFonts w:ascii="Times New Roman" w:hAnsi="Times New Roman"/>
      <w:sz w:val="0"/>
      <w:szCs w:val="0"/>
      <w:lang w:eastAsia="en-US"/>
    </w:rPr>
  </w:style>
  <w:style w:type="character" w:styleId="Lienhypertexte">
    <w:name w:val="Hyperlink"/>
    <w:uiPriority w:val="99"/>
    <w:rsid w:val="00CD2E1C"/>
    <w:rPr>
      <w:rFonts w:cs="Times New Roman"/>
      <w:color w:val="0000FF"/>
      <w:u w:val="single"/>
    </w:rPr>
  </w:style>
  <w:style w:type="paragraph" w:styleId="Textedebulles">
    <w:name w:val="Balloon Text"/>
    <w:basedOn w:val="Normal"/>
    <w:link w:val="TextedebullesCar"/>
    <w:uiPriority w:val="99"/>
    <w:semiHidden/>
    <w:unhideWhenUsed/>
    <w:rsid w:val="009149A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149AC"/>
    <w:rPr>
      <w:rFonts w:ascii="Tahoma" w:hAnsi="Tahoma" w:cs="Tahoma"/>
      <w:sz w:val="16"/>
      <w:szCs w:val="16"/>
      <w:lang w:eastAsia="en-US"/>
    </w:rPr>
  </w:style>
  <w:style w:type="paragraph" w:styleId="En-tte">
    <w:name w:val="header"/>
    <w:basedOn w:val="Normal"/>
    <w:link w:val="En-tteCar"/>
    <w:uiPriority w:val="99"/>
    <w:unhideWhenUsed/>
    <w:rsid w:val="00A02228"/>
    <w:pPr>
      <w:tabs>
        <w:tab w:val="center" w:pos="4536"/>
        <w:tab w:val="right" w:pos="9072"/>
      </w:tabs>
    </w:pPr>
  </w:style>
  <w:style w:type="character" w:customStyle="1" w:styleId="En-tteCar">
    <w:name w:val="En-tête Car"/>
    <w:link w:val="En-tte"/>
    <w:uiPriority w:val="99"/>
    <w:rsid w:val="00A02228"/>
    <w:rPr>
      <w:sz w:val="22"/>
      <w:szCs w:val="22"/>
      <w:lang w:eastAsia="en-US"/>
    </w:rPr>
  </w:style>
  <w:style w:type="paragraph" w:styleId="Pieddepage">
    <w:name w:val="footer"/>
    <w:basedOn w:val="Normal"/>
    <w:link w:val="PieddepageCar"/>
    <w:uiPriority w:val="99"/>
    <w:unhideWhenUsed/>
    <w:rsid w:val="00A02228"/>
    <w:pPr>
      <w:tabs>
        <w:tab w:val="center" w:pos="4536"/>
        <w:tab w:val="right" w:pos="9072"/>
      </w:tabs>
    </w:pPr>
  </w:style>
  <w:style w:type="character" w:customStyle="1" w:styleId="PieddepageCar">
    <w:name w:val="Pied de page Car"/>
    <w:link w:val="Pieddepage"/>
    <w:uiPriority w:val="99"/>
    <w:rsid w:val="00A02228"/>
    <w:rPr>
      <w:sz w:val="22"/>
      <w:szCs w:val="22"/>
      <w:lang w:eastAsia="en-US"/>
    </w:rPr>
  </w:style>
  <w:style w:type="paragraph" w:styleId="NormalWeb">
    <w:name w:val="Normal (Web)"/>
    <w:basedOn w:val="Normal"/>
    <w:uiPriority w:val="99"/>
    <w:unhideWhenUsed/>
    <w:rsid w:val="00D228C3"/>
    <w:pPr>
      <w:spacing w:before="100" w:beforeAutospacing="1" w:after="100" w:afterAutospacing="1" w:line="240" w:lineRule="auto"/>
    </w:pPr>
    <w:rPr>
      <w:rFonts w:ascii="Times New Roman" w:eastAsia="Times New Roman" w:hAnsi="Times New Roman"/>
      <w:sz w:val="24"/>
      <w:szCs w:val="24"/>
      <w:lang w:eastAsia="fr-FR"/>
    </w:rPr>
  </w:style>
  <w:style w:type="character" w:styleId="Marquedecommentaire">
    <w:name w:val="annotation reference"/>
    <w:uiPriority w:val="99"/>
    <w:semiHidden/>
    <w:unhideWhenUsed/>
    <w:rsid w:val="00DB1A56"/>
    <w:rPr>
      <w:sz w:val="16"/>
      <w:szCs w:val="16"/>
    </w:rPr>
  </w:style>
  <w:style w:type="paragraph" w:styleId="Commentaire">
    <w:name w:val="annotation text"/>
    <w:basedOn w:val="Normal"/>
    <w:link w:val="CommentaireCar"/>
    <w:uiPriority w:val="99"/>
    <w:semiHidden/>
    <w:unhideWhenUsed/>
    <w:rsid w:val="00DB1A56"/>
    <w:pPr>
      <w:spacing w:after="0" w:line="240" w:lineRule="auto"/>
      <w:jc w:val="both"/>
    </w:pPr>
    <w:rPr>
      <w:rFonts w:ascii="Arial" w:eastAsia="Times New Roman" w:hAnsi="Arial"/>
      <w:sz w:val="20"/>
      <w:szCs w:val="20"/>
    </w:rPr>
  </w:style>
  <w:style w:type="character" w:customStyle="1" w:styleId="CommentaireCar">
    <w:name w:val="Commentaire Car"/>
    <w:link w:val="Commentaire"/>
    <w:uiPriority w:val="99"/>
    <w:semiHidden/>
    <w:rsid w:val="00DB1A56"/>
    <w:rPr>
      <w:rFonts w:ascii="Arial" w:eastAsia="Times New Roman" w:hAnsi="Arial"/>
      <w:lang w:eastAsia="en-US"/>
    </w:rPr>
  </w:style>
  <w:style w:type="paragraph" w:styleId="Rvision">
    <w:name w:val="Revision"/>
    <w:hidden/>
    <w:uiPriority w:val="99"/>
    <w:semiHidden/>
    <w:rsid w:val="00032804"/>
    <w:rPr>
      <w:sz w:val="22"/>
      <w:szCs w:val="22"/>
      <w:lang w:eastAsia="en-US"/>
    </w:rPr>
  </w:style>
  <w:style w:type="paragraph" w:customStyle="1" w:styleId="Default">
    <w:name w:val="Default"/>
    <w:rsid w:val="00F76B70"/>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F4864"/>
    <w:pPr>
      <w:spacing w:after="200" w:line="276" w:lineRule="auto"/>
      <w:jc w:val="left"/>
    </w:pPr>
    <w:rPr>
      <w:rFonts w:ascii="Calibri" w:eastAsia="Calibri" w:hAnsi="Calibri"/>
      <w:b/>
      <w:bCs/>
    </w:rPr>
  </w:style>
  <w:style w:type="character" w:customStyle="1" w:styleId="ObjetducommentaireCar">
    <w:name w:val="Objet du commentaire Car"/>
    <w:link w:val="Objetducommentaire"/>
    <w:uiPriority w:val="99"/>
    <w:semiHidden/>
    <w:rsid w:val="007F4864"/>
    <w:rPr>
      <w:rFonts w:ascii="Arial" w:eastAsia="Times New Roman" w:hAnsi="Arial"/>
      <w:b/>
      <w:bCs/>
      <w:lang w:eastAsia="en-US"/>
    </w:rPr>
  </w:style>
  <w:style w:type="paragraph" w:styleId="Notedebasdepage">
    <w:name w:val="footnote text"/>
    <w:basedOn w:val="Normal"/>
    <w:link w:val="NotedebasdepageCar"/>
    <w:uiPriority w:val="99"/>
    <w:semiHidden/>
    <w:unhideWhenUsed/>
    <w:rsid w:val="00095258"/>
    <w:rPr>
      <w:sz w:val="20"/>
      <w:szCs w:val="20"/>
    </w:rPr>
  </w:style>
  <w:style w:type="character" w:customStyle="1" w:styleId="NotedebasdepageCar">
    <w:name w:val="Note de bas de page Car"/>
    <w:link w:val="Notedebasdepage"/>
    <w:uiPriority w:val="99"/>
    <w:semiHidden/>
    <w:rsid w:val="00095258"/>
    <w:rPr>
      <w:lang w:eastAsia="en-US"/>
    </w:rPr>
  </w:style>
  <w:style w:type="character" w:styleId="Appelnotedebasdep">
    <w:name w:val="footnote reference"/>
    <w:uiPriority w:val="99"/>
    <w:semiHidden/>
    <w:unhideWhenUsed/>
    <w:rsid w:val="00095258"/>
    <w:rPr>
      <w:vertAlign w:val="superscript"/>
    </w:rPr>
  </w:style>
  <w:style w:type="table" w:styleId="Grilledutableau">
    <w:name w:val="Table Grid"/>
    <w:basedOn w:val="TableauNormal"/>
    <w:locked/>
    <w:rsid w:val="0020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D12722"/>
    <w:rPr>
      <w:rFonts w:ascii="Times New Roman" w:eastAsia="Times New Roman" w:hAnsi="Times New Roman"/>
      <w:b/>
      <w:bCs/>
      <w:sz w:val="36"/>
      <w:szCs w:val="36"/>
    </w:rPr>
  </w:style>
  <w:style w:type="character" w:customStyle="1" w:styleId="Mentionnonrsolue1">
    <w:name w:val="Mention non résolue1"/>
    <w:uiPriority w:val="99"/>
    <w:semiHidden/>
    <w:unhideWhenUsed/>
    <w:rsid w:val="00A50452"/>
    <w:rPr>
      <w:color w:val="808080"/>
      <w:shd w:val="clear" w:color="auto" w:fill="E6E6E6"/>
    </w:rPr>
  </w:style>
  <w:style w:type="character" w:styleId="lev">
    <w:name w:val="Strong"/>
    <w:qFormat/>
    <w:locked/>
    <w:rsid w:val="007B45C5"/>
    <w:rPr>
      <w:b/>
      <w:bCs/>
    </w:rPr>
  </w:style>
  <w:style w:type="paragraph" w:styleId="Corpsdetexte">
    <w:name w:val="Body Text"/>
    <w:basedOn w:val="Normal"/>
    <w:link w:val="CorpsdetexteCar"/>
    <w:uiPriority w:val="1"/>
    <w:qFormat/>
    <w:rsid w:val="000B345C"/>
    <w:pPr>
      <w:widowControl w:val="0"/>
      <w:autoSpaceDE w:val="0"/>
      <w:autoSpaceDN w:val="0"/>
      <w:spacing w:after="0" w:line="240" w:lineRule="auto"/>
    </w:pPr>
    <w:rPr>
      <w:rFonts w:cs="Calibri"/>
    </w:rPr>
  </w:style>
  <w:style w:type="character" w:customStyle="1" w:styleId="CorpsdetexteCar">
    <w:name w:val="Corps de texte Car"/>
    <w:basedOn w:val="Policepardfaut"/>
    <w:link w:val="Corpsdetexte"/>
    <w:uiPriority w:val="1"/>
    <w:rsid w:val="000B345C"/>
    <w:rPr>
      <w:rFonts w:cs="Calibri"/>
      <w:sz w:val="22"/>
      <w:szCs w:val="22"/>
      <w:lang w:eastAsia="en-US"/>
    </w:rPr>
  </w:style>
  <w:style w:type="character" w:styleId="Lienhypertextesuivivisit">
    <w:name w:val="FollowedHyperlink"/>
    <w:basedOn w:val="Policepardfaut"/>
    <w:uiPriority w:val="99"/>
    <w:semiHidden/>
    <w:unhideWhenUsed/>
    <w:rsid w:val="008879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91">
      <w:bodyDiv w:val="1"/>
      <w:marLeft w:val="0"/>
      <w:marRight w:val="0"/>
      <w:marTop w:val="0"/>
      <w:marBottom w:val="0"/>
      <w:divBdr>
        <w:top w:val="none" w:sz="0" w:space="0" w:color="auto"/>
        <w:left w:val="none" w:sz="0" w:space="0" w:color="auto"/>
        <w:bottom w:val="none" w:sz="0" w:space="0" w:color="auto"/>
        <w:right w:val="none" w:sz="0" w:space="0" w:color="auto"/>
      </w:divBdr>
    </w:div>
    <w:div w:id="159583205">
      <w:bodyDiv w:val="1"/>
      <w:marLeft w:val="0"/>
      <w:marRight w:val="0"/>
      <w:marTop w:val="0"/>
      <w:marBottom w:val="0"/>
      <w:divBdr>
        <w:top w:val="none" w:sz="0" w:space="0" w:color="auto"/>
        <w:left w:val="none" w:sz="0" w:space="0" w:color="auto"/>
        <w:bottom w:val="none" w:sz="0" w:space="0" w:color="auto"/>
        <w:right w:val="none" w:sz="0" w:space="0" w:color="auto"/>
      </w:divBdr>
    </w:div>
    <w:div w:id="167062117">
      <w:bodyDiv w:val="1"/>
      <w:marLeft w:val="0"/>
      <w:marRight w:val="0"/>
      <w:marTop w:val="0"/>
      <w:marBottom w:val="0"/>
      <w:divBdr>
        <w:top w:val="none" w:sz="0" w:space="0" w:color="auto"/>
        <w:left w:val="none" w:sz="0" w:space="0" w:color="auto"/>
        <w:bottom w:val="none" w:sz="0" w:space="0" w:color="auto"/>
        <w:right w:val="none" w:sz="0" w:space="0" w:color="auto"/>
      </w:divBdr>
    </w:div>
    <w:div w:id="269170811">
      <w:bodyDiv w:val="1"/>
      <w:marLeft w:val="0"/>
      <w:marRight w:val="0"/>
      <w:marTop w:val="0"/>
      <w:marBottom w:val="0"/>
      <w:divBdr>
        <w:top w:val="none" w:sz="0" w:space="0" w:color="auto"/>
        <w:left w:val="none" w:sz="0" w:space="0" w:color="auto"/>
        <w:bottom w:val="none" w:sz="0" w:space="0" w:color="auto"/>
        <w:right w:val="none" w:sz="0" w:space="0" w:color="auto"/>
      </w:divBdr>
    </w:div>
    <w:div w:id="342905723">
      <w:bodyDiv w:val="1"/>
      <w:marLeft w:val="0"/>
      <w:marRight w:val="0"/>
      <w:marTop w:val="0"/>
      <w:marBottom w:val="0"/>
      <w:divBdr>
        <w:top w:val="none" w:sz="0" w:space="0" w:color="auto"/>
        <w:left w:val="none" w:sz="0" w:space="0" w:color="auto"/>
        <w:bottom w:val="none" w:sz="0" w:space="0" w:color="auto"/>
        <w:right w:val="none" w:sz="0" w:space="0" w:color="auto"/>
      </w:divBdr>
    </w:div>
    <w:div w:id="350377190">
      <w:bodyDiv w:val="1"/>
      <w:marLeft w:val="0"/>
      <w:marRight w:val="0"/>
      <w:marTop w:val="0"/>
      <w:marBottom w:val="0"/>
      <w:divBdr>
        <w:top w:val="none" w:sz="0" w:space="0" w:color="auto"/>
        <w:left w:val="none" w:sz="0" w:space="0" w:color="auto"/>
        <w:bottom w:val="none" w:sz="0" w:space="0" w:color="auto"/>
        <w:right w:val="none" w:sz="0" w:space="0" w:color="auto"/>
      </w:divBdr>
    </w:div>
    <w:div w:id="374041811">
      <w:bodyDiv w:val="1"/>
      <w:marLeft w:val="0"/>
      <w:marRight w:val="0"/>
      <w:marTop w:val="0"/>
      <w:marBottom w:val="0"/>
      <w:divBdr>
        <w:top w:val="none" w:sz="0" w:space="0" w:color="auto"/>
        <w:left w:val="none" w:sz="0" w:space="0" w:color="auto"/>
        <w:bottom w:val="none" w:sz="0" w:space="0" w:color="auto"/>
        <w:right w:val="none" w:sz="0" w:space="0" w:color="auto"/>
      </w:divBdr>
    </w:div>
    <w:div w:id="502863807">
      <w:bodyDiv w:val="1"/>
      <w:marLeft w:val="0"/>
      <w:marRight w:val="0"/>
      <w:marTop w:val="0"/>
      <w:marBottom w:val="0"/>
      <w:divBdr>
        <w:top w:val="none" w:sz="0" w:space="0" w:color="auto"/>
        <w:left w:val="none" w:sz="0" w:space="0" w:color="auto"/>
        <w:bottom w:val="none" w:sz="0" w:space="0" w:color="auto"/>
        <w:right w:val="none" w:sz="0" w:space="0" w:color="auto"/>
      </w:divBdr>
    </w:div>
    <w:div w:id="597638552">
      <w:bodyDiv w:val="1"/>
      <w:marLeft w:val="0"/>
      <w:marRight w:val="0"/>
      <w:marTop w:val="0"/>
      <w:marBottom w:val="0"/>
      <w:divBdr>
        <w:top w:val="none" w:sz="0" w:space="0" w:color="auto"/>
        <w:left w:val="none" w:sz="0" w:space="0" w:color="auto"/>
        <w:bottom w:val="none" w:sz="0" w:space="0" w:color="auto"/>
        <w:right w:val="none" w:sz="0" w:space="0" w:color="auto"/>
      </w:divBdr>
    </w:div>
    <w:div w:id="730496822">
      <w:bodyDiv w:val="1"/>
      <w:marLeft w:val="0"/>
      <w:marRight w:val="0"/>
      <w:marTop w:val="0"/>
      <w:marBottom w:val="0"/>
      <w:divBdr>
        <w:top w:val="none" w:sz="0" w:space="0" w:color="auto"/>
        <w:left w:val="none" w:sz="0" w:space="0" w:color="auto"/>
        <w:bottom w:val="none" w:sz="0" w:space="0" w:color="auto"/>
        <w:right w:val="none" w:sz="0" w:space="0" w:color="auto"/>
      </w:divBdr>
    </w:div>
    <w:div w:id="743600721">
      <w:bodyDiv w:val="1"/>
      <w:marLeft w:val="0"/>
      <w:marRight w:val="0"/>
      <w:marTop w:val="0"/>
      <w:marBottom w:val="0"/>
      <w:divBdr>
        <w:top w:val="none" w:sz="0" w:space="0" w:color="auto"/>
        <w:left w:val="none" w:sz="0" w:space="0" w:color="auto"/>
        <w:bottom w:val="none" w:sz="0" w:space="0" w:color="auto"/>
        <w:right w:val="none" w:sz="0" w:space="0" w:color="auto"/>
      </w:divBdr>
    </w:div>
    <w:div w:id="759637609">
      <w:bodyDiv w:val="1"/>
      <w:marLeft w:val="0"/>
      <w:marRight w:val="0"/>
      <w:marTop w:val="0"/>
      <w:marBottom w:val="0"/>
      <w:divBdr>
        <w:top w:val="none" w:sz="0" w:space="0" w:color="auto"/>
        <w:left w:val="none" w:sz="0" w:space="0" w:color="auto"/>
        <w:bottom w:val="none" w:sz="0" w:space="0" w:color="auto"/>
        <w:right w:val="none" w:sz="0" w:space="0" w:color="auto"/>
      </w:divBdr>
    </w:div>
    <w:div w:id="785077551">
      <w:bodyDiv w:val="1"/>
      <w:marLeft w:val="0"/>
      <w:marRight w:val="0"/>
      <w:marTop w:val="0"/>
      <w:marBottom w:val="0"/>
      <w:divBdr>
        <w:top w:val="none" w:sz="0" w:space="0" w:color="auto"/>
        <w:left w:val="none" w:sz="0" w:space="0" w:color="auto"/>
        <w:bottom w:val="none" w:sz="0" w:space="0" w:color="auto"/>
        <w:right w:val="none" w:sz="0" w:space="0" w:color="auto"/>
      </w:divBdr>
    </w:div>
    <w:div w:id="799765003">
      <w:bodyDiv w:val="1"/>
      <w:marLeft w:val="0"/>
      <w:marRight w:val="0"/>
      <w:marTop w:val="0"/>
      <w:marBottom w:val="0"/>
      <w:divBdr>
        <w:top w:val="none" w:sz="0" w:space="0" w:color="auto"/>
        <w:left w:val="none" w:sz="0" w:space="0" w:color="auto"/>
        <w:bottom w:val="none" w:sz="0" w:space="0" w:color="auto"/>
        <w:right w:val="none" w:sz="0" w:space="0" w:color="auto"/>
      </w:divBdr>
    </w:div>
    <w:div w:id="880943571">
      <w:bodyDiv w:val="1"/>
      <w:marLeft w:val="0"/>
      <w:marRight w:val="0"/>
      <w:marTop w:val="0"/>
      <w:marBottom w:val="0"/>
      <w:divBdr>
        <w:top w:val="none" w:sz="0" w:space="0" w:color="auto"/>
        <w:left w:val="none" w:sz="0" w:space="0" w:color="auto"/>
        <w:bottom w:val="none" w:sz="0" w:space="0" w:color="auto"/>
        <w:right w:val="none" w:sz="0" w:space="0" w:color="auto"/>
      </w:divBdr>
    </w:div>
    <w:div w:id="898636130">
      <w:bodyDiv w:val="1"/>
      <w:marLeft w:val="0"/>
      <w:marRight w:val="0"/>
      <w:marTop w:val="0"/>
      <w:marBottom w:val="0"/>
      <w:divBdr>
        <w:top w:val="none" w:sz="0" w:space="0" w:color="auto"/>
        <w:left w:val="none" w:sz="0" w:space="0" w:color="auto"/>
        <w:bottom w:val="none" w:sz="0" w:space="0" w:color="auto"/>
        <w:right w:val="none" w:sz="0" w:space="0" w:color="auto"/>
      </w:divBdr>
    </w:div>
    <w:div w:id="921259005">
      <w:bodyDiv w:val="1"/>
      <w:marLeft w:val="0"/>
      <w:marRight w:val="0"/>
      <w:marTop w:val="0"/>
      <w:marBottom w:val="0"/>
      <w:divBdr>
        <w:top w:val="none" w:sz="0" w:space="0" w:color="auto"/>
        <w:left w:val="none" w:sz="0" w:space="0" w:color="auto"/>
        <w:bottom w:val="none" w:sz="0" w:space="0" w:color="auto"/>
        <w:right w:val="none" w:sz="0" w:space="0" w:color="auto"/>
      </w:divBdr>
    </w:div>
    <w:div w:id="954756074">
      <w:bodyDiv w:val="1"/>
      <w:marLeft w:val="0"/>
      <w:marRight w:val="0"/>
      <w:marTop w:val="0"/>
      <w:marBottom w:val="0"/>
      <w:divBdr>
        <w:top w:val="none" w:sz="0" w:space="0" w:color="auto"/>
        <w:left w:val="none" w:sz="0" w:space="0" w:color="auto"/>
        <w:bottom w:val="none" w:sz="0" w:space="0" w:color="auto"/>
        <w:right w:val="none" w:sz="0" w:space="0" w:color="auto"/>
      </w:divBdr>
    </w:div>
    <w:div w:id="1055618635">
      <w:bodyDiv w:val="1"/>
      <w:marLeft w:val="0"/>
      <w:marRight w:val="0"/>
      <w:marTop w:val="0"/>
      <w:marBottom w:val="0"/>
      <w:divBdr>
        <w:top w:val="none" w:sz="0" w:space="0" w:color="auto"/>
        <w:left w:val="none" w:sz="0" w:space="0" w:color="auto"/>
        <w:bottom w:val="none" w:sz="0" w:space="0" w:color="auto"/>
        <w:right w:val="none" w:sz="0" w:space="0" w:color="auto"/>
      </w:divBdr>
    </w:div>
    <w:div w:id="1062675989">
      <w:bodyDiv w:val="1"/>
      <w:marLeft w:val="0"/>
      <w:marRight w:val="0"/>
      <w:marTop w:val="0"/>
      <w:marBottom w:val="0"/>
      <w:divBdr>
        <w:top w:val="none" w:sz="0" w:space="0" w:color="auto"/>
        <w:left w:val="none" w:sz="0" w:space="0" w:color="auto"/>
        <w:bottom w:val="none" w:sz="0" w:space="0" w:color="auto"/>
        <w:right w:val="none" w:sz="0" w:space="0" w:color="auto"/>
      </w:divBdr>
    </w:div>
    <w:div w:id="1274241074">
      <w:bodyDiv w:val="1"/>
      <w:marLeft w:val="0"/>
      <w:marRight w:val="0"/>
      <w:marTop w:val="0"/>
      <w:marBottom w:val="0"/>
      <w:divBdr>
        <w:top w:val="none" w:sz="0" w:space="0" w:color="auto"/>
        <w:left w:val="none" w:sz="0" w:space="0" w:color="auto"/>
        <w:bottom w:val="none" w:sz="0" w:space="0" w:color="auto"/>
        <w:right w:val="none" w:sz="0" w:space="0" w:color="auto"/>
      </w:divBdr>
      <w:divsChild>
        <w:div w:id="2002195232">
          <w:marLeft w:val="0"/>
          <w:marRight w:val="0"/>
          <w:marTop w:val="0"/>
          <w:marBottom w:val="0"/>
          <w:divBdr>
            <w:top w:val="none" w:sz="0" w:space="0" w:color="auto"/>
            <w:left w:val="none" w:sz="0" w:space="0" w:color="auto"/>
            <w:bottom w:val="none" w:sz="0" w:space="0" w:color="auto"/>
            <w:right w:val="none" w:sz="0" w:space="0" w:color="auto"/>
          </w:divBdr>
        </w:div>
      </w:divsChild>
    </w:div>
    <w:div w:id="1286885972">
      <w:bodyDiv w:val="1"/>
      <w:marLeft w:val="0"/>
      <w:marRight w:val="0"/>
      <w:marTop w:val="0"/>
      <w:marBottom w:val="0"/>
      <w:divBdr>
        <w:top w:val="none" w:sz="0" w:space="0" w:color="auto"/>
        <w:left w:val="none" w:sz="0" w:space="0" w:color="auto"/>
        <w:bottom w:val="none" w:sz="0" w:space="0" w:color="auto"/>
        <w:right w:val="none" w:sz="0" w:space="0" w:color="auto"/>
      </w:divBdr>
    </w:div>
    <w:div w:id="1306010744">
      <w:bodyDiv w:val="1"/>
      <w:marLeft w:val="0"/>
      <w:marRight w:val="0"/>
      <w:marTop w:val="0"/>
      <w:marBottom w:val="0"/>
      <w:divBdr>
        <w:top w:val="none" w:sz="0" w:space="0" w:color="auto"/>
        <w:left w:val="none" w:sz="0" w:space="0" w:color="auto"/>
        <w:bottom w:val="none" w:sz="0" w:space="0" w:color="auto"/>
        <w:right w:val="none" w:sz="0" w:space="0" w:color="auto"/>
      </w:divBdr>
    </w:div>
    <w:div w:id="1515344327">
      <w:marLeft w:val="0"/>
      <w:marRight w:val="0"/>
      <w:marTop w:val="0"/>
      <w:marBottom w:val="0"/>
      <w:divBdr>
        <w:top w:val="none" w:sz="0" w:space="0" w:color="auto"/>
        <w:left w:val="none" w:sz="0" w:space="0" w:color="auto"/>
        <w:bottom w:val="none" w:sz="0" w:space="0" w:color="auto"/>
        <w:right w:val="none" w:sz="0" w:space="0" w:color="auto"/>
      </w:divBdr>
    </w:div>
    <w:div w:id="1515344328">
      <w:marLeft w:val="0"/>
      <w:marRight w:val="0"/>
      <w:marTop w:val="0"/>
      <w:marBottom w:val="0"/>
      <w:divBdr>
        <w:top w:val="none" w:sz="0" w:space="0" w:color="auto"/>
        <w:left w:val="none" w:sz="0" w:space="0" w:color="auto"/>
        <w:bottom w:val="none" w:sz="0" w:space="0" w:color="auto"/>
        <w:right w:val="none" w:sz="0" w:space="0" w:color="auto"/>
      </w:divBdr>
    </w:div>
    <w:div w:id="1515344329">
      <w:marLeft w:val="0"/>
      <w:marRight w:val="0"/>
      <w:marTop w:val="0"/>
      <w:marBottom w:val="0"/>
      <w:divBdr>
        <w:top w:val="none" w:sz="0" w:space="0" w:color="auto"/>
        <w:left w:val="none" w:sz="0" w:space="0" w:color="auto"/>
        <w:bottom w:val="none" w:sz="0" w:space="0" w:color="auto"/>
        <w:right w:val="none" w:sz="0" w:space="0" w:color="auto"/>
      </w:divBdr>
    </w:div>
    <w:div w:id="1515344330">
      <w:marLeft w:val="0"/>
      <w:marRight w:val="0"/>
      <w:marTop w:val="0"/>
      <w:marBottom w:val="0"/>
      <w:divBdr>
        <w:top w:val="none" w:sz="0" w:space="0" w:color="auto"/>
        <w:left w:val="none" w:sz="0" w:space="0" w:color="auto"/>
        <w:bottom w:val="none" w:sz="0" w:space="0" w:color="auto"/>
        <w:right w:val="none" w:sz="0" w:space="0" w:color="auto"/>
      </w:divBdr>
    </w:div>
    <w:div w:id="1515344331">
      <w:marLeft w:val="0"/>
      <w:marRight w:val="0"/>
      <w:marTop w:val="0"/>
      <w:marBottom w:val="0"/>
      <w:divBdr>
        <w:top w:val="none" w:sz="0" w:space="0" w:color="auto"/>
        <w:left w:val="none" w:sz="0" w:space="0" w:color="auto"/>
        <w:bottom w:val="none" w:sz="0" w:space="0" w:color="auto"/>
        <w:right w:val="none" w:sz="0" w:space="0" w:color="auto"/>
      </w:divBdr>
    </w:div>
    <w:div w:id="1515344332">
      <w:marLeft w:val="0"/>
      <w:marRight w:val="0"/>
      <w:marTop w:val="0"/>
      <w:marBottom w:val="0"/>
      <w:divBdr>
        <w:top w:val="none" w:sz="0" w:space="0" w:color="auto"/>
        <w:left w:val="none" w:sz="0" w:space="0" w:color="auto"/>
        <w:bottom w:val="none" w:sz="0" w:space="0" w:color="auto"/>
        <w:right w:val="none" w:sz="0" w:space="0" w:color="auto"/>
      </w:divBdr>
    </w:div>
    <w:div w:id="1574656610">
      <w:bodyDiv w:val="1"/>
      <w:marLeft w:val="0"/>
      <w:marRight w:val="0"/>
      <w:marTop w:val="0"/>
      <w:marBottom w:val="0"/>
      <w:divBdr>
        <w:top w:val="none" w:sz="0" w:space="0" w:color="auto"/>
        <w:left w:val="none" w:sz="0" w:space="0" w:color="auto"/>
        <w:bottom w:val="none" w:sz="0" w:space="0" w:color="auto"/>
        <w:right w:val="none" w:sz="0" w:space="0" w:color="auto"/>
      </w:divBdr>
    </w:div>
    <w:div w:id="1627930416">
      <w:bodyDiv w:val="1"/>
      <w:marLeft w:val="0"/>
      <w:marRight w:val="0"/>
      <w:marTop w:val="0"/>
      <w:marBottom w:val="0"/>
      <w:divBdr>
        <w:top w:val="none" w:sz="0" w:space="0" w:color="auto"/>
        <w:left w:val="none" w:sz="0" w:space="0" w:color="auto"/>
        <w:bottom w:val="none" w:sz="0" w:space="0" w:color="auto"/>
        <w:right w:val="none" w:sz="0" w:space="0" w:color="auto"/>
      </w:divBdr>
    </w:div>
    <w:div w:id="1668247178">
      <w:bodyDiv w:val="1"/>
      <w:marLeft w:val="0"/>
      <w:marRight w:val="0"/>
      <w:marTop w:val="0"/>
      <w:marBottom w:val="0"/>
      <w:divBdr>
        <w:top w:val="none" w:sz="0" w:space="0" w:color="auto"/>
        <w:left w:val="none" w:sz="0" w:space="0" w:color="auto"/>
        <w:bottom w:val="none" w:sz="0" w:space="0" w:color="auto"/>
        <w:right w:val="none" w:sz="0" w:space="0" w:color="auto"/>
      </w:divBdr>
    </w:div>
    <w:div w:id="1705788614">
      <w:bodyDiv w:val="1"/>
      <w:marLeft w:val="0"/>
      <w:marRight w:val="0"/>
      <w:marTop w:val="0"/>
      <w:marBottom w:val="0"/>
      <w:divBdr>
        <w:top w:val="none" w:sz="0" w:space="0" w:color="auto"/>
        <w:left w:val="none" w:sz="0" w:space="0" w:color="auto"/>
        <w:bottom w:val="none" w:sz="0" w:space="0" w:color="auto"/>
        <w:right w:val="none" w:sz="0" w:space="0" w:color="auto"/>
      </w:divBdr>
    </w:div>
    <w:div w:id="1726219926">
      <w:bodyDiv w:val="1"/>
      <w:marLeft w:val="0"/>
      <w:marRight w:val="0"/>
      <w:marTop w:val="0"/>
      <w:marBottom w:val="0"/>
      <w:divBdr>
        <w:top w:val="none" w:sz="0" w:space="0" w:color="auto"/>
        <w:left w:val="none" w:sz="0" w:space="0" w:color="auto"/>
        <w:bottom w:val="none" w:sz="0" w:space="0" w:color="auto"/>
        <w:right w:val="none" w:sz="0" w:space="0" w:color="auto"/>
      </w:divBdr>
    </w:div>
    <w:div w:id="1757628356">
      <w:bodyDiv w:val="1"/>
      <w:marLeft w:val="0"/>
      <w:marRight w:val="0"/>
      <w:marTop w:val="0"/>
      <w:marBottom w:val="0"/>
      <w:divBdr>
        <w:top w:val="none" w:sz="0" w:space="0" w:color="auto"/>
        <w:left w:val="none" w:sz="0" w:space="0" w:color="auto"/>
        <w:bottom w:val="none" w:sz="0" w:space="0" w:color="auto"/>
        <w:right w:val="none" w:sz="0" w:space="0" w:color="auto"/>
      </w:divBdr>
    </w:div>
    <w:div w:id="1795637122">
      <w:bodyDiv w:val="1"/>
      <w:marLeft w:val="0"/>
      <w:marRight w:val="0"/>
      <w:marTop w:val="0"/>
      <w:marBottom w:val="0"/>
      <w:divBdr>
        <w:top w:val="none" w:sz="0" w:space="0" w:color="auto"/>
        <w:left w:val="none" w:sz="0" w:space="0" w:color="auto"/>
        <w:bottom w:val="none" w:sz="0" w:space="0" w:color="auto"/>
        <w:right w:val="none" w:sz="0" w:space="0" w:color="auto"/>
      </w:divBdr>
    </w:div>
    <w:div w:id="1798332570">
      <w:bodyDiv w:val="1"/>
      <w:marLeft w:val="0"/>
      <w:marRight w:val="0"/>
      <w:marTop w:val="0"/>
      <w:marBottom w:val="0"/>
      <w:divBdr>
        <w:top w:val="none" w:sz="0" w:space="0" w:color="auto"/>
        <w:left w:val="none" w:sz="0" w:space="0" w:color="auto"/>
        <w:bottom w:val="none" w:sz="0" w:space="0" w:color="auto"/>
        <w:right w:val="none" w:sz="0" w:space="0" w:color="auto"/>
      </w:divBdr>
    </w:div>
    <w:div w:id="1874951431">
      <w:bodyDiv w:val="1"/>
      <w:marLeft w:val="0"/>
      <w:marRight w:val="0"/>
      <w:marTop w:val="0"/>
      <w:marBottom w:val="0"/>
      <w:divBdr>
        <w:top w:val="none" w:sz="0" w:space="0" w:color="auto"/>
        <w:left w:val="none" w:sz="0" w:space="0" w:color="auto"/>
        <w:bottom w:val="none" w:sz="0" w:space="0" w:color="auto"/>
        <w:right w:val="none" w:sz="0" w:space="0" w:color="auto"/>
      </w:divBdr>
    </w:div>
    <w:div w:id="1912542797">
      <w:bodyDiv w:val="1"/>
      <w:marLeft w:val="0"/>
      <w:marRight w:val="0"/>
      <w:marTop w:val="0"/>
      <w:marBottom w:val="0"/>
      <w:divBdr>
        <w:top w:val="none" w:sz="0" w:space="0" w:color="auto"/>
        <w:left w:val="none" w:sz="0" w:space="0" w:color="auto"/>
        <w:bottom w:val="none" w:sz="0" w:space="0" w:color="auto"/>
        <w:right w:val="none" w:sz="0" w:space="0" w:color="auto"/>
      </w:divBdr>
    </w:div>
    <w:div w:id="2048097245">
      <w:bodyDiv w:val="1"/>
      <w:marLeft w:val="0"/>
      <w:marRight w:val="0"/>
      <w:marTop w:val="0"/>
      <w:marBottom w:val="0"/>
      <w:divBdr>
        <w:top w:val="none" w:sz="0" w:space="0" w:color="auto"/>
        <w:left w:val="none" w:sz="0" w:space="0" w:color="auto"/>
        <w:bottom w:val="none" w:sz="0" w:space="0" w:color="auto"/>
        <w:right w:val="none" w:sz="0" w:space="0" w:color="auto"/>
      </w:divBdr>
    </w:div>
    <w:div w:id="21270449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xibook.com/fr/investisseurs.html" TargetMode="Externa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F37A1-FD9F-40D0-9A10-5DF1C0DFA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2696</Words>
  <Characters>14834</Characters>
  <Application>Microsoft Office Word</Application>
  <DocSecurity>0</DocSecurity>
  <Lines>123</Lines>
  <Paragraphs>34</Paragraphs>
  <ScaleCrop>false</ScaleCrop>
  <Company>Microsoft</Company>
  <LinksUpToDate>false</LinksUpToDate>
  <CharactersWithSpaces>17496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cp:lastModifiedBy>Justin ARANDA-SANCHEZ</cp:lastModifiedBy>
  <cp:revision>13</cp:revision>
  <cp:lastPrinted>2023-06-29T07:42:00Z</cp:lastPrinted>
  <dcterms:created xsi:type="dcterms:W3CDTF">2025-06-16T17:57:00Z</dcterms:created>
  <dcterms:modified xsi:type="dcterms:W3CDTF">2025-06-16T19:30:00Z</dcterms:modified>
</cp:coreProperties>
</file>